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6C05DF67"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w:t>
      </w:r>
      <w:r w:rsidR="004376DD">
        <w:rPr>
          <w:rFonts w:ascii="Arial" w:hAnsi="Arial" w:cs="Arial"/>
          <w:b/>
          <w:bCs/>
          <w:sz w:val="28"/>
        </w:rPr>
        <w:t>10</w:t>
      </w:r>
      <w:r w:rsidR="00AB1B61">
        <w:rPr>
          <w:rFonts w:ascii="Arial" w:hAnsi="Arial" w:cs="Arial"/>
          <w:b/>
          <w:bCs/>
          <w:sz w:val="28"/>
        </w:rPr>
        <w:t>b-e</w:t>
      </w:r>
      <w:r w:rsidR="00681013" w:rsidRPr="00E9096F">
        <w:rPr>
          <w:rFonts w:ascii="Arial" w:hAnsi="Arial" w:cs="Arial"/>
          <w:b/>
          <w:bCs/>
          <w:sz w:val="28"/>
        </w:rPr>
        <w:tab/>
      </w:r>
      <w:r w:rsidR="00681013" w:rsidRPr="00E9096F">
        <w:rPr>
          <w:rFonts w:ascii="Arial" w:hAnsi="Arial" w:cs="Arial"/>
          <w:b/>
          <w:bCs/>
          <w:sz w:val="28"/>
        </w:rPr>
        <w:tab/>
      </w:r>
      <w:r w:rsidR="00844284">
        <w:rPr>
          <w:rFonts w:ascii="Arial" w:hAnsi="Arial" w:cs="Arial"/>
          <w:b/>
          <w:bCs/>
          <w:sz w:val="28"/>
        </w:rPr>
        <w:tab/>
      </w:r>
      <w:r w:rsidR="00844284" w:rsidRPr="00844284">
        <w:rPr>
          <w:rFonts w:ascii="Arial" w:hAnsi="Arial" w:cs="Arial"/>
          <w:b/>
          <w:bCs/>
          <w:sz w:val="28"/>
        </w:rPr>
        <w:t>R1-220</w:t>
      </w:r>
      <w:r w:rsidR="00117E3F">
        <w:rPr>
          <w:rFonts w:ascii="Arial" w:hAnsi="Arial" w:cs="Arial"/>
          <w:b/>
          <w:bCs/>
          <w:sz w:val="28"/>
        </w:rPr>
        <w:t>9611</w:t>
      </w:r>
    </w:p>
    <w:p w14:paraId="2B61B936" w14:textId="00E5F8DB" w:rsidR="00681013" w:rsidRPr="009513AC" w:rsidRDefault="00AB1B61" w:rsidP="00681013">
      <w:pPr>
        <w:tabs>
          <w:tab w:val="center" w:pos="4536"/>
          <w:tab w:val="right" w:pos="9072"/>
        </w:tabs>
        <w:rPr>
          <w:rFonts w:ascii="Arial" w:eastAsia="MS Mincho" w:hAnsi="Arial" w:cs="Arial"/>
          <w:b/>
          <w:bCs/>
          <w:sz w:val="28"/>
        </w:rPr>
      </w:pPr>
      <w:r>
        <w:rPr>
          <w:rFonts w:ascii="Arial" w:eastAsia="MS Mincho" w:hAnsi="Arial" w:cs="Arial"/>
          <w:b/>
          <w:bCs/>
          <w:sz w:val="28"/>
        </w:rPr>
        <w:t>Electronic Meeting,</w:t>
      </w:r>
      <w:r w:rsidR="007F42EC" w:rsidRPr="006F7772">
        <w:rPr>
          <w:rFonts w:ascii="Arial" w:eastAsia="MS Mincho" w:hAnsi="Arial" w:cs="Arial"/>
          <w:b/>
          <w:bCs/>
          <w:sz w:val="28"/>
        </w:rPr>
        <w:t xml:space="preserve"> </w:t>
      </w:r>
      <w:r>
        <w:rPr>
          <w:rFonts w:ascii="Arial" w:eastAsia="MS Mincho" w:hAnsi="Arial" w:cs="Arial"/>
          <w:b/>
          <w:bCs/>
          <w:sz w:val="28"/>
        </w:rPr>
        <w:t>October</w:t>
      </w:r>
      <w:r w:rsidR="00844284">
        <w:rPr>
          <w:rFonts w:ascii="Arial" w:eastAsia="MS Mincho" w:hAnsi="Arial" w:cs="Arial"/>
          <w:b/>
          <w:bCs/>
          <w:sz w:val="28"/>
        </w:rPr>
        <w:t xml:space="preserve"> </w:t>
      </w:r>
      <w:r>
        <w:rPr>
          <w:rFonts w:ascii="Arial" w:eastAsia="MS Mincho" w:hAnsi="Arial" w:cs="Arial"/>
          <w:b/>
          <w:bCs/>
          <w:sz w:val="28"/>
        </w:rPr>
        <w:t>10</w:t>
      </w:r>
      <w:r w:rsidRPr="00AB1B61">
        <w:rPr>
          <w:rFonts w:ascii="Arial" w:eastAsia="MS Mincho" w:hAnsi="Arial" w:cs="Arial"/>
          <w:b/>
          <w:bCs/>
          <w:sz w:val="28"/>
          <w:vertAlign w:val="superscript"/>
        </w:rPr>
        <w:t>th</w:t>
      </w:r>
      <w:r>
        <w:rPr>
          <w:rFonts w:ascii="Arial" w:eastAsia="MS Mincho" w:hAnsi="Arial" w:cs="Arial"/>
          <w:b/>
          <w:bCs/>
          <w:sz w:val="28"/>
        </w:rPr>
        <w:t>-19</w:t>
      </w:r>
      <w:r w:rsidRPr="00AB1B61">
        <w:rPr>
          <w:rFonts w:ascii="Arial" w:eastAsia="MS Mincho" w:hAnsi="Arial" w:cs="Arial"/>
          <w:b/>
          <w:bCs/>
          <w:sz w:val="28"/>
          <w:vertAlign w:val="superscript"/>
        </w:rPr>
        <w:t>th</w:t>
      </w:r>
      <w:r w:rsidR="00B07CCF">
        <w:rPr>
          <w:rFonts w:ascii="Arial" w:eastAsia="MS Mincho" w:hAnsi="Arial" w:cs="Arial"/>
          <w:b/>
          <w:bCs/>
          <w:sz w:val="28"/>
        </w:rPr>
        <w:t>, 202</w:t>
      </w:r>
      <w:r w:rsidR="006E0B25">
        <w:rPr>
          <w:rFonts w:ascii="Arial" w:eastAsia="MS Mincho" w:hAnsi="Arial" w:cs="Arial"/>
          <w:b/>
          <w:bCs/>
          <w:sz w:val="28"/>
        </w:rPr>
        <w:t>2</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337FA6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D63760" w:rsidRPr="00D63760">
        <w:rPr>
          <w:rFonts w:asciiTheme="majorHAnsi" w:eastAsia="MS Gothic" w:hAnsiTheme="majorHAnsi" w:cstheme="majorHAnsi"/>
          <w:noProof w:val="0"/>
          <w:sz w:val="24"/>
        </w:rPr>
        <w:t xml:space="preserve">On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co-channel coexistence issues</w:t>
      </w:r>
    </w:p>
    <w:p w14:paraId="4D9892B1" w14:textId="42F13876" w:rsidR="000D7C4F" w:rsidRPr="00871EEA"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63760">
        <w:rPr>
          <w:rFonts w:asciiTheme="majorHAnsi" w:eastAsia="MS Gothic" w:hAnsiTheme="majorHAnsi" w:cstheme="majorHAnsi"/>
          <w:noProof w:val="0"/>
          <w:sz w:val="24"/>
        </w:rPr>
        <w:t>9.4</w:t>
      </w:r>
      <w:r w:rsidR="007F42EC" w:rsidRPr="007F42EC">
        <w:rPr>
          <w:rFonts w:asciiTheme="majorHAnsi" w:eastAsia="MS Gothic" w:hAnsiTheme="majorHAnsi" w:cstheme="majorHAnsi"/>
          <w:noProof w:val="0"/>
          <w:sz w:val="24"/>
        </w:rPr>
        <w:t xml:space="preserve">.2 - </w:t>
      </w:r>
      <w:r w:rsidR="00D63760" w:rsidRPr="00D63760">
        <w:rPr>
          <w:rFonts w:asciiTheme="majorHAnsi" w:eastAsia="MS Gothic" w:hAnsiTheme="majorHAnsi" w:cstheme="majorHAnsi"/>
          <w:noProof w:val="0"/>
          <w:sz w:val="24"/>
        </w:rPr>
        <w:t xml:space="preserve">Co-channel coexistence for LTE </w:t>
      </w:r>
      <w:proofErr w:type="spellStart"/>
      <w:r w:rsidR="00D63760" w:rsidRPr="00D63760">
        <w:rPr>
          <w:rFonts w:asciiTheme="majorHAnsi" w:eastAsia="MS Gothic" w:hAnsiTheme="majorHAnsi" w:cstheme="majorHAnsi"/>
          <w:noProof w:val="0"/>
          <w:sz w:val="24"/>
        </w:rPr>
        <w:t>sidelink</w:t>
      </w:r>
      <w:proofErr w:type="spellEnd"/>
      <w:r w:rsidR="00D63760" w:rsidRPr="00D63760">
        <w:rPr>
          <w:rFonts w:asciiTheme="majorHAnsi" w:eastAsia="MS Gothic" w:hAnsiTheme="majorHAnsi" w:cstheme="majorHAnsi"/>
          <w:noProof w:val="0"/>
          <w:sz w:val="24"/>
        </w:rPr>
        <w:t xml:space="preserve"> and NR </w:t>
      </w:r>
      <w:proofErr w:type="spellStart"/>
      <w:r w:rsidR="00D63760" w:rsidRPr="00D63760">
        <w:rPr>
          <w:rFonts w:asciiTheme="majorHAnsi" w:eastAsia="MS Gothic" w:hAnsiTheme="majorHAnsi" w:cstheme="majorHAnsi"/>
          <w:noProof w:val="0"/>
          <w:sz w:val="24"/>
        </w:rPr>
        <w:t>sidelink</w:t>
      </w:r>
      <w:proofErr w:type="spellEnd"/>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0CACF395" w14:textId="17E42E4E" w:rsidR="00526F19" w:rsidRDefault="00EF48C2" w:rsidP="00526F19">
      <w:r>
        <w:t xml:space="preserve">One of the objectives of the WID about NR </w:t>
      </w:r>
      <w:proofErr w:type="spellStart"/>
      <w:r>
        <w:t>sidelink</w:t>
      </w:r>
      <w:proofErr w:type="spellEnd"/>
      <w:r>
        <w:t xml:space="preserve"> evolution </w:t>
      </w:r>
      <w:r>
        <w:fldChar w:fldCharType="begin"/>
      </w:r>
      <w:r>
        <w:instrText xml:space="preserve"> REF _Ref102147610 \r \h </w:instrText>
      </w:r>
      <w:r>
        <w:fldChar w:fldCharType="separate"/>
      </w:r>
      <w:r w:rsidR="006D0128">
        <w:t>[1]</w:t>
      </w:r>
      <w:r>
        <w:fldChar w:fldCharType="end"/>
      </w:r>
      <w:r>
        <w:t xml:space="preserve"> is to:</w:t>
      </w:r>
    </w:p>
    <w:p w14:paraId="35B04070" w14:textId="77777777"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 xml:space="preserve">Study and specify, if necessary, mechanism(s) for co-channel coexistence for LTE </w:t>
      </w:r>
      <w:proofErr w:type="spellStart"/>
      <w:r w:rsidRPr="005D5EE4">
        <w:rPr>
          <w:rFonts w:ascii="Times" w:hAnsi="Times" w:cs="Times"/>
          <w:i/>
          <w:iCs/>
        </w:rPr>
        <w:t>sidelink</w:t>
      </w:r>
      <w:proofErr w:type="spellEnd"/>
      <w:r w:rsidRPr="005D5EE4">
        <w:rPr>
          <w:rFonts w:ascii="Times" w:hAnsi="Times" w:cs="Times"/>
          <w:i/>
          <w:iCs/>
        </w:rPr>
        <w:t xml:space="preserve"> and NR </w:t>
      </w:r>
      <w:proofErr w:type="spellStart"/>
      <w:r w:rsidRPr="005D5EE4">
        <w:rPr>
          <w:rFonts w:ascii="Times" w:hAnsi="Times" w:cs="Times"/>
          <w:i/>
          <w:iCs/>
        </w:rPr>
        <w:t>sidelink</w:t>
      </w:r>
      <w:proofErr w:type="spellEnd"/>
      <w:r w:rsidRPr="005D5EE4">
        <w:rPr>
          <w:rFonts w:ascii="Times" w:hAnsi="Times" w:cs="Times"/>
          <w:i/>
          <w:iCs/>
        </w:rPr>
        <w:t xml:space="preserve"> including performance, necessity, feasibility, and potential specification impact if any [RAN1, RAN2, RAN4]</w:t>
      </w:r>
    </w:p>
    <w:p w14:paraId="45A4DEEE" w14:textId="77777777" w:rsidR="005D5EE4" w:rsidRPr="005D5EE4" w:rsidRDefault="005D5EE4" w:rsidP="00283DEC">
      <w:pPr>
        <w:numPr>
          <w:ilvl w:val="0"/>
          <w:numId w:val="8"/>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5A98004B" w14:textId="39256B51" w:rsidR="00FB3DB0" w:rsidRDefault="00626243" w:rsidP="00526F19">
      <w:r>
        <w:t>In RAN1#110</w:t>
      </w:r>
      <w:r w:rsidR="007411EB">
        <w:t xml:space="preserve"> </w:t>
      </w:r>
      <w:r w:rsidR="007411EB">
        <w:fldChar w:fldCharType="begin"/>
      </w:r>
      <w:r w:rsidR="007411EB">
        <w:instrText xml:space="preserve"> REF _Ref115445889 \r \h </w:instrText>
      </w:r>
      <w:r w:rsidR="007411EB">
        <w:fldChar w:fldCharType="separate"/>
      </w:r>
      <w:r w:rsidR="006D0128">
        <w:t>[6]</w:t>
      </w:r>
      <w:r w:rsidR="007411EB">
        <w:fldChar w:fldCharType="end"/>
      </w:r>
      <w:r>
        <w:t xml:space="preserve">, the group concluded that </w:t>
      </w:r>
      <w:r w:rsidRPr="00626243">
        <w:rPr>
          <w:rFonts w:eastAsia="MS Mincho"/>
          <w:i/>
          <w:iCs/>
        </w:rPr>
        <w:t>TDM-based semi-static resource pool partitioning based on Rel-16/17 specifications is one possible solution to ensure co-channel coexistence between LTE-V UEs and NR-V UEs</w:t>
      </w:r>
      <w:r>
        <w:rPr>
          <w:rFonts w:eastAsia="MS Mincho"/>
        </w:rPr>
        <w:t>. Yet, this solution, although feasible, is challenging to deploy and unable to adapt to future traffic changes</w:t>
      </w:r>
      <w:r w:rsidR="007411EB">
        <w:rPr>
          <w:rFonts w:eastAsia="MS Mincho"/>
        </w:rPr>
        <w:t xml:space="preserve"> </w:t>
      </w:r>
      <w:r w:rsidR="007411EB">
        <w:rPr>
          <w:rFonts w:eastAsia="MS Mincho"/>
        </w:rPr>
        <w:fldChar w:fldCharType="begin"/>
      </w:r>
      <w:r w:rsidR="007411EB">
        <w:rPr>
          <w:rFonts w:eastAsia="MS Mincho"/>
        </w:rPr>
        <w:instrText xml:space="preserve"> REF _Ref115445904 \r \h </w:instrText>
      </w:r>
      <w:r w:rsidR="007411EB">
        <w:rPr>
          <w:rFonts w:eastAsia="MS Mincho"/>
        </w:rPr>
      </w:r>
      <w:r w:rsidR="007411EB">
        <w:rPr>
          <w:rFonts w:eastAsia="MS Mincho"/>
        </w:rPr>
        <w:fldChar w:fldCharType="separate"/>
      </w:r>
      <w:r w:rsidR="006D0128">
        <w:rPr>
          <w:rFonts w:eastAsia="MS Mincho"/>
        </w:rPr>
        <w:t>[8]</w:t>
      </w:r>
      <w:r w:rsidR="007411EB">
        <w:rPr>
          <w:rFonts w:eastAsia="MS Mincho"/>
        </w:rPr>
        <w:fldChar w:fldCharType="end"/>
      </w:r>
      <w:r>
        <w:rPr>
          <w:rFonts w:eastAsia="MS Mincho"/>
        </w:rPr>
        <w:t>, which also leads to important drawbacks in terms of performance</w:t>
      </w:r>
      <w:r w:rsidR="007411EB">
        <w:rPr>
          <w:rFonts w:eastAsia="MS Mincho"/>
        </w:rPr>
        <w:t xml:space="preserve">. For these reasons, RAN plenary RAN#97 </w:t>
      </w:r>
      <w:r w:rsidR="007411EB">
        <w:rPr>
          <w:rFonts w:eastAsia="MS Mincho"/>
        </w:rPr>
        <w:fldChar w:fldCharType="begin"/>
      </w:r>
      <w:r w:rsidR="007411EB">
        <w:rPr>
          <w:rFonts w:eastAsia="MS Mincho"/>
        </w:rPr>
        <w:instrText xml:space="preserve"> REF _Ref115445989 \r \h </w:instrText>
      </w:r>
      <w:r w:rsidR="007411EB">
        <w:rPr>
          <w:rFonts w:eastAsia="MS Mincho"/>
        </w:rPr>
      </w:r>
      <w:r w:rsidR="007411EB">
        <w:rPr>
          <w:rFonts w:eastAsia="MS Mincho"/>
        </w:rPr>
        <w:fldChar w:fldCharType="separate"/>
      </w:r>
      <w:r w:rsidR="006D0128">
        <w:rPr>
          <w:rFonts w:eastAsia="MS Mincho"/>
        </w:rPr>
        <w:t>[7]</w:t>
      </w:r>
      <w:r w:rsidR="007411EB">
        <w:rPr>
          <w:rFonts w:eastAsia="MS Mincho"/>
        </w:rPr>
        <w:fldChar w:fldCharType="end"/>
      </w:r>
      <w:r w:rsidR="007411EB">
        <w:rPr>
          <w:rFonts w:eastAsia="MS Mincho"/>
        </w:rPr>
        <w:t xml:space="preserve"> guides </w:t>
      </w:r>
      <w:r w:rsidR="007411EB" w:rsidRPr="003413BE">
        <w:rPr>
          <w:rFonts w:eastAsia="MS Mincho"/>
          <w:i/>
          <w:iCs/>
        </w:rPr>
        <w:t xml:space="preserve">RAN 1 to </w:t>
      </w:r>
      <w:r w:rsidR="00FB3DB0" w:rsidRPr="00FB3DB0">
        <w:rPr>
          <w:i/>
          <w:iCs/>
        </w:rPr>
        <w:t>continue the work on dynamic resource pool sharing based on existing agreements and WID with high priority for Type A devices and operating combination A</w:t>
      </w:r>
      <w:r w:rsidR="003413BE">
        <w:t>.</w:t>
      </w:r>
    </w:p>
    <w:p w14:paraId="61448522" w14:textId="037A606D" w:rsidR="00FB3DB0" w:rsidRDefault="003413BE" w:rsidP="00526F19">
      <w:r>
        <w:t xml:space="preserve">This contribution discusses the mechanisms for co-channel coexistence between LTE and NR </w:t>
      </w:r>
      <w:proofErr w:type="spellStart"/>
      <w:r>
        <w:t>sidelink</w:t>
      </w:r>
      <w:proofErr w:type="spellEnd"/>
      <w:r>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7DC30A6" w14:textId="14150F7B" w:rsidR="008536DE" w:rsidRDefault="00356E1F" w:rsidP="00356E1F">
      <w:pPr>
        <w:pStyle w:val="Titre2"/>
        <w:rPr>
          <w:rStyle w:val="Accentuation"/>
          <w:rFonts w:ascii="Times" w:hAnsi="Times" w:cs="Times"/>
          <w:i w:val="0"/>
        </w:rPr>
      </w:pPr>
      <w:r>
        <w:rPr>
          <w:rStyle w:val="Accentuation"/>
          <w:rFonts w:ascii="Times" w:hAnsi="Times" w:cs="Times"/>
          <w:i w:val="0"/>
        </w:rPr>
        <w:t>Background and motivation</w:t>
      </w:r>
    </w:p>
    <w:p w14:paraId="18713BE5" w14:textId="0F6BBB33" w:rsidR="00356E1F" w:rsidRDefault="00356E1F" w:rsidP="00A42FA2">
      <w:pPr>
        <w:rPr>
          <w:rStyle w:val="Accentuation"/>
          <w:rFonts w:ascii="Times" w:hAnsi="Times" w:cs="Times"/>
          <w:i w:val="0"/>
        </w:rPr>
      </w:pPr>
      <w:r>
        <w:rPr>
          <w:rStyle w:val="Accentuation"/>
          <w:rFonts w:ascii="Times" w:hAnsi="Times" w:cs="Times"/>
          <w:i w:val="0"/>
        </w:rPr>
        <w:t xml:space="preserve">Rel.16 V2X specified in-device coexistence, where the coexistence aspect is approached from UE perspective. It addressed devices with dual LTE-V2X and NR-V2X chipsets with concurrent operation. </w:t>
      </w:r>
      <w:r w:rsidR="003E4ACC">
        <w:rPr>
          <w:rStyle w:val="Accentuation"/>
          <w:rFonts w:ascii="Times" w:hAnsi="Times" w:cs="Times"/>
          <w:i w:val="0"/>
        </w:rPr>
        <w:t>To account for different classes of constraints such single power budget, inter-RAT interference, half duplex limitations, several coexistence methods were specified:</w:t>
      </w:r>
    </w:p>
    <w:p w14:paraId="32F940EF" w14:textId="1B61E6A6" w:rsidR="003E4ACC" w:rsidRDefault="003E4ACC" w:rsidP="00283DEC">
      <w:pPr>
        <w:pStyle w:val="Paragraphedeliste"/>
        <w:numPr>
          <w:ilvl w:val="0"/>
          <w:numId w:val="8"/>
        </w:numPr>
        <w:ind w:leftChars="0"/>
        <w:rPr>
          <w:rStyle w:val="Accentuation"/>
          <w:rFonts w:ascii="Times" w:hAnsi="Times" w:cs="Times"/>
          <w:i w:val="0"/>
        </w:rPr>
      </w:pPr>
      <w:r>
        <w:rPr>
          <w:rStyle w:val="Accentuation"/>
          <w:rFonts w:ascii="Times" w:hAnsi="Times" w:cs="Times"/>
          <w:i w:val="0"/>
        </w:rPr>
        <w:t>Long term TDM solutions based on static, (pre)configured time-domain partition between LTE and NR resource pools</w:t>
      </w:r>
    </w:p>
    <w:p w14:paraId="15DA22E8" w14:textId="08881D37" w:rsidR="003E4ACC" w:rsidRDefault="003E4ACC" w:rsidP="00283DEC">
      <w:pPr>
        <w:pStyle w:val="Paragraphedeliste"/>
        <w:numPr>
          <w:ilvl w:val="0"/>
          <w:numId w:val="8"/>
        </w:numPr>
        <w:ind w:leftChars="0"/>
        <w:rPr>
          <w:rStyle w:val="Accentuation"/>
          <w:rFonts w:ascii="Times" w:hAnsi="Times" w:cs="Times"/>
          <w:i w:val="0"/>
        </w:rPr>
      </w:pPr>
      <w:r>
        <w:rPr>
          <w:rStyle w:val="Accentuation"/>
          <w:rFonts w:ascii="Times" w:hAnsi="Times" w:cs="Times"/>
          <w:i w:val="0"/>
        </w:rPr>
        <w:t xml:space="preserve">Short term TDM solutions where simultaneous transmission on the two RATs, as well as simultaneous transmission on one RAT/reception on the other RAT are prevented by a set of </w:t>
      </w:r>
      <w:r w:rsidR="008F182D">
        <w:rPr>
          <w:rStyle w:val="Accentuation"/>
          <w:rFonts w:ascii="Times" w:hAnsi="Times" w:cs="Times"/>
          <w:i w:val="0"/>
        </w:rPr>
        <w:t>priority-based</w:t>
      </w:r>
      <w:r>
        <w:rPr>
          <w:rStyle w:val="Accentuation"/>
          <w:rFonts w:ascii="Times" w:hAnsi="Times" w:cs="Times"/>
          <w:i w:val="0"/>
        </w:rPr>
        <w:t xml:space="preserve"> rules (or by UE implementation when priorities are equal/unavailable). Simultaneous reception on the two RATs is up to UE implementation. </w:t>
      </w:r>
    </w:p>
    <w:p w14:paraId="1CA25C4B" w14:textId="20F494F8" w:rsidR="003E4ACC" w:rsidRPr="003E4ACC" w:rsidRDefault="003E4ACC" w:rsidP="00283DEC">
      <w:pPr>
        <w:pStyle w:val="Paragraphedeliste"/>
        <w:numPr>
          <w:ilvl w:val="0"/>
          <w:numId w:val="8"/>
        </w:numPr>
        <w:ind w:leftChars="0"/>
        <w:rPr>
          <w:rStyle w:val="Accentuation"/>
          <w:rFonts w:ascii="Times" w:hAnsi="Times" w:cs="Times"/>
          <w:i w:val="0"/>
        </w:rPr>
      </w:pPr>
      <w:r>
        <w:rPr>
          <w:rStyle w:val="Accentuation"/>
          <w:rFonts w:ascii="Times" w:hAnsi="Times" w:cs="Times"/>
          <w:i w:val="0"/>
        </w:rPr>
        <w:t>Inter-band FDM partition with static power allocation.</w:t>
      </w:r>
    </w:p>
    <w:p w14:paraId="444938CB" w14:textId="68D58BFD" w:rsidR="00356E1F" w:rsidRDefault="008F182D" w:rsidP="00A42FA2">
      <w:pPr>
        <w:rPr>
          <w:rStyle w:val="Accentuation"/>
          <w:rFonts w:ascii="Times" w:hAnsi="Times" w:cs="Times"/>
          <w:i w:val="0"/>
        </w:rPr>
      </w:pPr>
      <w:r>
        <w:rPr>
          <w:rStyle w:val="Accentuation"/>
          <w:rFonts w:ascii="Times" w:hAnsi="Times" w:cs="Times"/>
          <w:i w:val="0"/>
        </w:rPr>
        <w:t>These solutions addressed concurrent transmission from UE perspective, while the resource pools of the two RATs remained disjoint. Rel.16 solutions set a framework for coexistence studies, but specifically excluded any form of co-channel coexistence.</w:t>
      </w:r>
    </w:p>
    <w:p w14:paraId="7D0EAA6C" w14:textId="790DF16B" w:rsidR="008F182D" w:rsidRDefault="008F182D" w:rsidP="00A42FA2">
      <w:pPr>
        <w:rPr>
          <w:rStyle w:val="Accentuation"/>
          <w:rFonts w:ascii="Times" w:hAnsi="Times" w:cs="Times"/>
          <w:i w:val="0"/>
        </w:rPr>
      </w:pPr>
      <w:r>
        <w:rPr>
          <w:rStyle w:val="Accentuation"/>
          <w:rFonts w:ascii="Times" w:hAnsi="Times" w:cs="Times"/>
          <w:i w:val="0"/>
        </w:rPr>
        <w:t xml:space="preserve">Co-channel coexistence studies responds to a clear market need. In its input to the Rel.18 workshop, 5GAA rated the co-channel coexistence studies as a high priority </w:t>
      </w:r>
      <w:r>
        <w:rPr>
          <w:rStyle w:val="Accentuation"/>
          <w:rFonts w:ascii="Times" w:hAnsi="Times" w:cs="Times"/>
          <w:i w:val="0"/>
        </w:rPr>
        <w:fldChar w:fldCharType="begin"/>
      </w:r>
      <w:r>
        <w:rPr>
          <w:rStyle w:val="Accentuation"/>
          <w:rFonts w:ascii="Times" w:hAnsi="Times" w:cs="Times"/>
          <w:i w:val="0"/>
        </w:rPr>
        <w:instrText xml:space="preserve"> REF _Ref102150721 \r \h </w:instrText>
      </w:r>
      <w:r>
        <w:rPr>
          <w:rStyle w:val="Accentuation"/>
          <w:rFonts w:ascii="Times" w:hAnsi="Times" w:cs="Times"/>
          <w:i w:val="0"/>
        </w:rPr>
      </w:r>
      <w:r>
        <w:rPr>
          <w:rStyle w:val="Accentuation"/>
          <w:rFonts w:ascii="Times" w:hAnsi="Times" w:cs="Times"/>
          <w:i w:val="0"/>
        </w:rPr>
        <w:fldChar w:fldCharType="separate"/>
      </w:r>
      <w:r w:rsidR="006D0128">
        <w:rPr>
          <w:rStyle w:val="Accentuation"/>
          <w:rFonts w:ascii="Times" w:hAnsi="Times" w:cs="Times"/>
          <w:i w:val="0"/>
        </w:rPr>
        <w:t>[2]</w:t>
      </w:r>
      <w:r>
        <w:rPr>
          <w:rStyle w:val="Accentuation"/>
          <w:rFonts w:ascii="Times" w:hAnsi="Times" w:cs="Times"/>
          <w:i w:val="0"/>
        </w:rPr>
        <w:fldChar w:fldCharType="end"/>
      </w:r>
      <w:r>
        <w:rPr>
          <w:rStyle w:val="Accentuation"/>
          <w:rFonts w:ascii="Times" w:hAnsi="Times" w:cs="Times"/>
          <w:i w:val="0"/>
        </w:rPr>
        <w:t xml:space="preserve">. Since the available ITS frequency spectrum is small, there is a clear need for NR to coexist with LTE. </w:t>
      </w:r>
      <w:proofErr w:type="gramStart"/>
      <w:r>
        <w:rPr>
          <w:rStyle w:val="Accentuation"/>
          <w:rFonts w:ascii="Times" w:hAnsi="Times" w:cs="Times"/>
          <w:i w:val="0"/>
        </w:rPr>
        <w:t>First of all</w:t>
      </w:r>
      <w:proofErr w:type="gramEnd"/>
      <w:r>
        <w:rPr>
          <w:rStyle w:val="Accentuation"/>
          <w:rFonts w:ascii="Times" w:hAnsi="Times" w:cs="Times"/>
          <w:i w:val="0"/>
        </w:rPr>
        <w:t xml:space="preserve">, </w:t>
      </w:r>
      <w:r w:rsidR="00125812">
        <w:rPr>
          <w:rStyle w:val="Accentuation"/>
          <w:rFonts w:ascii="Times" w:hAnsi="Times" w:cs="Times"/>
          <w:i w:val="0"/>
        </w:rPr>
        <w:t xml:space="preserve">this enables more efficient spectrum usage and enables NR to access larger spectrum. </w:t>
      </w:r>
      <w:proofErr w:type="gramStart"/>
      <w:r w:rsidR="00125812">
        <w:rPr>
          <w:rStyle w:val="Accentuation"/>
          <w:rFonts w:ascii="Times" w:hAnsi="Times" w:cs="Times"/>
          <w:i w:val="0"/>
        </w:rPr>
        <w:t>Second of all</w:t>
      </w:r>
      <w:proofErr w:type="gramEnd"/>
      <w:r w:rsidR="00125812">
        <w:rPr>
          <w:rStyle w:val="Accentuation"/>
          <w:rFonts w:ascii="Times" w:hAnsi="Times" w:cs="Times"/>
          <w:i w:val="0"/>
        </w:rPr>
        <w:t xml:space="preserve">, migration from LTE to NR </w:t>
      </w:r>
      <w:proofErr w:type="spellStart"/>
      <w:r w:rsidR="00125812">
        <w:rPr>
          <w:rStyle w:val="Accentuation"/>
          <w:rFonts w:ascii="Times" w:hAnsi="Times" w:cs="Times"/>
          <w:i w:val="0"/>
        </w:rPr>
        <w:t>sidelink</w:t>
      </w:r>
      <w:proofErr w:type="spellEnd"/>
      <w:r w:rsidR="00125812">
        <w:rPr>
          <w:rStyle w:val="Accentuation"/>
          <w:rFonts w:ascii="Times" w:hAnsi="Times" w:cs="Times"/>
          <w:i w:val="0"/>
        </w:rPr>
        <w:t xml:space="preserve"> needs to be considered. When the share of LTE-V2X will decrease, those devices being </w:t>
      </w:r>
      <w:r w:rsidR="00125812">
        <w:rPr>
          <w:rStyle w:val="Accentuation"/>
          <w:rFonts w:ascii="Times" w:hAnsi="Times" w:cs="Times"/>
          <w:i w:val="0"/>
        </w:rPr>
        <w:lastRenderedPageBreak/>
        <w:t xml:space="preserve">gradually replaced with NR-V2X UEs, co-channel coexistence opens the way to smooth transition between the two technologies and maximizes </w:t>
      </w:r>
      <w:r w:rsidR="00125812">
        <w:t xml:space="preserve">deployment flexibility. </w:t>
      </w:r>
    </w:p>
    <w:p w14:paraId="701E33D6" w14:textId="6B80DE0B" w:rsidR="002D1470" w:rsidRDefault="00125812" w:rsidP="00A42FA2">
      <w:r>
        <w:t>Due to the long lifetime of LTE-V2X UEs, the solutions to be designed should be seamless and backwards compatible for LTE users, who wouldn’t need to have knowledge of the coexistence with NR. Changes to LTE-V2X should be avoided.</w:t>
      </w:r>
    </w:p>
    <w:p w14:paraId="0873D01F" w14:textId="260432C4" w:rsidR="002D1470" w:rsidRDefault="00125812" w:rsidP="00A42FA2">
      <w:r>
        <w:t>With that in mind, two classes of co-channel coexistence can exist:</w:t>
      </w:r>
    </w:p>
    <w:p w14:paraId="38E871F8" w14:textId="60FAC8C4" w:rsidR="00125812" w:rsidRDefault="00125812" w:rsidP="00283DEC">
      <w:pPr>
        <w:pStyle w:val="Paragraphedeliste"/>
        <w:numPr>
          <w:ilvl w:val="0"/>
          <w:numId w:val="8"/>
        </w:numPr>
        <w:ind w:leftChars="0"/>
      </w:pPr>
      <w:r>
        <w:t>TDM resource pool segregation between LTE-V2X and NR-V2X</w:t>
      </w:r>
    </w:p>
    <w:p w14:paraId="130124BC" w14:textId="492770F4" w:rsidR="00AE3831" w:rsidRDefault="00AE3831" w:rsidP="00283DEC">
      <w:pPr>
        <w:pStyle w:val="Paragraphedeliste"/>
        <w:numPr>
          <w:ilvl w:val="0"/>
          <w:numId w:val="8"/>
        </w:numPr>
        <w:ind w:leftChars="0"/>
      </w:pPr>
      <w:r>
        <w:t>Common/overlapping resource pools for LTE-V2X and NR-V2X</w:t>
      </w:r>
    </w:p>
    <w:p w14:paraId="09250DAC" w14:textId="32D6448F" w:rsidR="00AE3831" w:rsidRDefault="00AE3831" w:rsidP="00AE3831">
      <w:r>
        <w:t xml:space="preserve">In the following, we will separately discuss the two options. </w:t>
      </w:r>
    </w:p>
    <w:p w14:paraId="551EA230" w14:textId="1340EAC0" w:rsidR="002D1470" w:rsidRDefault="002D1470" w:rsidP="00A42FA2"/>
    <w:p w14:paraId="3C7A7D06" w14:textId="43A5FC79" w:rsidR="002D1470" w:rsidRDefault="00AE3831" w:rsidP="00AE3831">
      <w:pPr>
        <w:pStyle w:val="Titre2"/>
      </w:pPr>
      <w:r>
        <w:t>Co-channel coexistence with resource pool separation</w:t>
      </w:r>
      <w:r w:rsidR="004E3F93">
        <w:t xml:space="preserve"> between LTE-V2X and NR-V2X</w:t>
      </w:r>
    </w:p>
    <w:p w14:paraId="465A0613" w14:textId="2A4A0D9C" w:rsidR="00306132" w:rsidRDefault="00AE3831" w:rsidP="00A42FA2">
      <w:pPr>
        <w:rPr>
          <w:rStyle w:val="Accentuation"/>
          <w:rFonts w:ascii="Times" w:hAnsi="Times" w:cs="Times"/>
          <w:i w:val="0"/>
        </w:rPr>
      </w:pPr>
      <w:r>
        <w:t xml:space="preserve">The Rel.16 </w:t>
      </w:r>
      <w:r>
        <w:rPr>
          <w:rStyle w:val="Accentuation"/>
          <w:rFonts w:ascii="Times" w:hAnsi="Times" w:cs="Times"/>
          <w:i w:val="0"/>
        </w:rPr>
        <w:t>long term TDM solution based on (semi-)static, (pre)configured time-domain partition between LTE and NR resource pools can be translated to the co-channel coexistence case in a rather straightforward manner. The advantage of such a direct extension is that the specification work is very limited</w:t>
      </w:r>
      <w:r w:rsidR="003254C6">
        <w:rPr>
          <w:rStyle w:val="Accentuation"/>
          <w:rFonts w:ascii="Times" w:hAnsi="Times" w:cs="Times"/>
          <w:i w:val="0"/>
        </w:rPr>
        <w:t xml:space="preserve">. Since the LTE and NR resources are </w:t>
      </w:r>
      <w:proofErr w:type="spellStart"/>
      <w:r w:rsidR="003254C6">
        <w:rPr>
          <w:rStyle w:val="Accentuation"/>
          <w:rFonts w:ascii="Times" w:hAnsi="Times" w:cs="Times"/>
          <w:i w:val="0"/>
        </w:rPr>
        <w:t>TDMed</w:t>
      </w:r>
      <w:proofErr w:type="spellEnd"/>
      <w:r w:rsidR="003254C6">
        <w:rPr>
          <w:rStyle w:val="Accentuation"/>
          <w:rFonts w:ascii="Times" w:hAnsi="Times" w:cs="Times"/>
          <w:i w:val="0"/>
        </w:rPr>
        <w:t xml:space="preserve">, there are no restrictions on numerology or configurations to be used since each RAT uses its own separate resource and Rel.16 framework already handles concurrent operation from UE perspective. </w:t>
      </w:r>
      <w:r w:rsidR="00306132">
        <w:rPr>
          <w:rStyle w:val="Accentuation"/>
          <w:rFonts w:ascii="Times" w:hAnsi="Times" w:cs="Times"/>
          <w:i w:val="0"/>
        </w:rPr>
        <w:t>In the past RAN1#110 meeting, the group draw the following conclusion</w:t>
      </w:r>
    </w:p>
    <w:p w14:paraId="3CE944C2" w14:textId="77777777" w:rsidR="00306132" w:rsidRPr="00306132" w:rsidRDefault="00306132" w:rsidP="00306132">
      <w:pPr>
        <w:spacing w:line="259" w:lineRule="auto"/>
        <w:ind w:leftChars="350" w:left="840"/>
        <w:rPr>
          <w:rFonts w:eastAsia="MS Mincho"/>
          <w:i/>
          <w:iCs/>
        </w:rPr>
      </w:pPr>
      <w:r w:rsidRPr="00306132">
        <w:rPr>
          <w:rFonts w:eastAsia="MS Mincho"/>
          <w:i/>
          <w:iCs/>
        </w:rPr>
        <w:t>For co-channel coexistence in Rel-18, RAN1 concludes that the TDM-based semi-static resource pool partitioning based on Rel-16/17 specifications is one possible solution to ensure co-channel coexistence between LTE-V UEs and NR-V UEs.</w:t>
      </w:r>
    </w:p>
    <w:p w14:paraId="5BFF9320" w14:textId="77777777" w:rsidR="00306132" w:rsidRPr="00306132" w:rsidRDefault="00306132" w:rsidP="00283DEC">
      <w:pPr>
        <w:pStyle w:val="Paragraphedeliste"/>
        <w:numPr>
          <w:ilvl w:val="1"/>
          <w:numId w:val="11"/>
        </w:numPr>
        <w:spacing w:after="0" w:line="259" w:lineRule="auto"/>
        <w:ind w:leftChars="0"/>
        <w:rPr>
          <w:rFonts w:eastAsia="MS Mincho"/>
          <w:i/>
          <w:iCs/>
        </w:rPr>
      </w:pPr>
      <w:r w:rsidRPr="00306132">
        <w:rPr>
          <w:rFonts w:eastAsia="MS Mincho"/>
          <w:i/>
          <w:iCs/>
        </w:rPr>
        <w:t>Note: The LTE and NR resource pools do not overlap in time with each other in the TDM-based semi-static resource pool partitioning.</w:t>
      </w:r>
    </w:p>
    <w:p w14:paraId="76BC2BDB" w14:textId="77777777" w:rsidR="00306132" w:rsidRPr="00306132" w:rsidRDefault="00306132" w:rsidP="00283DEC">
      <w:pPr>
        <w:pStyle w:val="Paragraphedeliste"/>
        <w:numPr>
          <w:ilvl w:val="1"/>
          <w:numId w:val="11"/>
        </w:numPr>
        <w:spacing w:after="0" w:line="259" w:lineRule="auto"/>
        <w:ind w:leftChars="0"/>
        <w:rPr>
          <w:rFonts w:eastAsia="MS Mincho"/>
          <w:i/>
          <w:iCs/>
        </w:rPr>
      </w:pPr>
      <w:r w:rsidRPr="00306132">
        <w:rPr>
          <w:rFonts w:eastAsia="MS Mincho"/>
          <w:i/>
          <w:iCs/>
        </w:rPr>
        <w:t>Note 2: Rel-16 in-device coexistence framework can ensure alignment between the slot boundary of the NR SL time slot and the subframe boundary of the LTE SL subframe</w:t>
      </w:r>
    </w:p>
    <w:p w14:paraId="2BEB6CB7" w14:textId="77777777" w:rsidR="00306132" w:rsidRPr="00306132" w:rsidRDefault="00306132" w:rsidP="00283DEC">
      <w:pPr>
        <w:pStyle w:val="Paragraphedeliste"/>
        <w:numPr>
          <w:ilvl w:val="1"/>
          <w:numId w:val="11"/>
        </w:numPr>
        <w:spacing w:after="0" w:line="259" w:lineRule="auto"/>
        <w:ind w:leftChars="0"/>
        <w:rPr>
          <w:rFonts w:eastAsia="MS Mincho"/>
          <w:i/>
          <w:iCs/>
        </w:rPr>
      </w:pPr>
      <w:r w:rsidRPr="00306132">
        <w:rPr>
          <w:rFonts w:eastAsia="MS Mincho"/>
          <w:i/>
          <w:iCs/>
        </w:rPr>
        <w:t>FFS: potential enhancements for synchronization can be further investigated</w:t>
      </w:r>
    </w:p>
    <w:p w14:paraId="1B9A4DA3" w14:textId="77777777" w:rsidR="00306132" w:rsidRDefault="00306132" w:rsidP="00A42FA2">
      <w:pPr>
        <w:rPr>
          <w:rStyle w:val="Accentuation"/>
          <w:rFonts w:ascii="Times" w:hAnsi="Times" w:cs="Times"/>
          <w:i w:val="0"/>
        </w:rPr>
      </w:pPr>
    </w:p>
    <w:p w14:paraId="2BB46407" w14:textId="7FB16C55" w:rsidR="003254C6" w:rsidRDefault="00A62D42" w:rsidP="00A42FA2">
      <w:r>
        <w:rPr>
          <w:rStyle w:val="Accentuation"/>
          <w:rFonts w:ascii="Times" w:hAnsi="Times" w:cs="Times"/>
          <w:i w:val="0"/>
        </w:rPr>
        <w:t xml:space="preserve">While we believe that a static solution should be supported due to the simplicity and the very limited specification impact, we believe that the static TDM solution cannot address by itself the needs expressed during Rel.18 package discussions, and which motivated the inclusion of co-channel coexistence work. </w:t>
      </w:r>
    </w:p>
    <w:p w14:paraId="57D4F6F3" w14:textId="6A66A1EC" w:rsidR="00B75786" w:rsidRDefault="005C644F" w:rsidP="00A42FA2">
      <w:r>
        <w:t xml:space="preserve">Indeed, once deployed, the TDM solution becomes practically static and is unable to adapt to the traffic changes between the two RATs. Any </w:t>
      </w:r>
      <w:r w:rsidR="00A62D42">
        <w:t>evolution of</w:t>
      </w:r>
      <w:r>
        <w:t xml:space="preserve"> the resource pool configuration </w:t>
      </w:r>
      <w:r w:rsidR="00A62D42">
        <w:t>is</w:t>
      </w:r>
      <w:r>
        <w:t xml:space="preserve"> submitted to regulatory changes, and even if such changes occur, it is almost impossible to ensure that all vehicles update their configuration in a timely manner. As further discussed in section </w:t>
      </w:r>
      <w:r>
        <w:fldChar w:fldCharType="begin"/>
      </w:r>
      <w:r>
        <w:instrText xml:space="preserve"> REF _Ref115452853 \r \h </w:instrText>
      </w:r>
      <w:r>
        <w:fldChar w:fldCharType="separate"/>
      </w:r>
      <w:r w:rsidR="006D0128">
        <w:t>3</w:t>
      </w:r>
      <w:r>
        <w:fldChar w:fldCharType="end"/>
      </w:r>
      <w:r>
        <w:t xml:space="preserve">, improper resource pool partitioning between the two RATs severely degrades the system performance. Static TDM partitioning in ITS spectrum cannot respond to the needs of a </w:t>
      </w:r>
      <w:r>
        <w:rPr>
          <w:rStyle w:val="Accentuation"/>
          <w:rFonts w:ascii="Times" w:hAnsi="Times" w:cs="Times"/>
          <w:i w:val="0"/>
        </w:rPr>
        <w:t>flexible technology transition path from LTE to NR.</w:t>
      </w:r>
    </w:p>
    <w:p w14:paraId="0885AC2F" w14:textId="367FD412" w:rsidR="00B75786" w:rsidRDefault="005C644F" w:rsidP="005C644F">
      <w:pPr>
        <w:pStyle w:val="Lgende"/>
      </w:pPr>
      <w:bookmarkStart w:id="1" w:name="_Toc115477473"/>
      <w:r>
        <w:t xml:space="preserve">Observation </w:t>
      </w:r>
      <w:fldSimple w:instr=" SEQ Observation \* ARABIC ">
        <w:r w:rsidR="00611491">
          <w:rPr>
            <w:noProof/>
          </w:rPr>
          <w:t>1</w:t>
        </w:r>
      </w:fldSimple>
      <w:r>
        <w:t xml:space="preserve">: </w:t>
      </w:r>
      <w:r w:rsidR="00FA78E5">
        <w:t>I</w:t>
      </w:r>
      <w:r>
        <w:t>n ITS spectrum</w:t>
      </w:r>
      <w:r w:rsidR="00FA78E5">
        <w:t>, static TDM solutions are u</w:t>
      </w:r>
      <w:r w:rsidR="00C35FF4">
        <w:t>nable to adapt to the traffic changes between the two RATs</w:t>
      </w:r>
      <w:r w:rsidR="00C35FF4">
        <w:t xml:space="preserve"> and </w:t>
      </w:r>
      <w:r>
        <w:t>cannot respond to the need</w:t>
      </w:r>
      <w:r w:rsidR="00C35FF4">
        <w:t xml:space="preserve"> for</w:t>
      </w:r>
      <w:r>
        <w:t xml:space="preserve"> a </w:t>
      </w:r>
      <w:r>
        <w:rPr>
          <w:rStyle w:val="Accentuation"/>
          <w:rFonts w:ascii="Times" w:hAnsi="Times" w:cs="Times"/>
          <w:i w:val="0"/>
        </w:rPr>
        <w:t>flexible technology transition path from LTE to NR</w:t>
      </w:r>
      <w:r w:rsidR="009941EB">
        <w:t>.</w:t>
      </w:r>
      <w:bookmarkEnd w:id="1"/>
    </w:p>
    <w:p w14:paraId="75AFD2E0" w14:textId="3DDE7EDE" w:rsidR="009F3AA0" w:rsidRDefault="009F3AA0" w:rsidP="00FA78E5">
      <w:pPr>
        <w:rPr>
          <w:rStyle w:val="Accentuation"/>
          <w:rFonts w:ascii="Times" w:hAnsi="Times" w:cs="Times"/>
          <w:i w:val="0"/>
        </w:rPr>
      </w:pPr>
      <w:r>
        <w:rPr>
          <w:rStyle w:val="Accentuation"/>
          <w:rFonts w:ascii="Times" w:hAnsi="Times" w:cs="Times"/>
          <w:i w:val="0"/>
        </w:rPr>
        <w:t xml:space="preserve">Potential enhancements to the Rel.16 </w:t>
      </w:r>
      <w:r>
        <w:rPr>
          <w:rStyle w:val="Accentuation"/>
          <w:rFonts w:ascii="Times" w:hAnsi="Times" w:cs="Times"/>
          <w:i w:val="0"/>
        </w:rPr>
        <w:t xml:space="preserve">TDM </w:t>
      </w:r>
      <w:r>
        <w:rPr>
          <w:rStyle w:val="Accentuation"/>
          <w:rFonts w:ascii="Times" w:hAnsi="Times" w:cs="Times"/>
          <w:i w:val="0"/>
        </w:rPr>
        <w:t>solutions may be further discussed, such as UE to network assistance for better resource pool configuration management (for cases where a network deployment exists)</w:t>
      </w:r>
      <w:r>
        <w:rPr>
          <w:rStyle w:val="Accentuation"/>
          <w:rFonts w:ascii="Times" w:hAnsi="Times" w:cs="Times"/>
          <w:i w:val="0"/>
        </w:rPr>
        <w:t>.</w:t>
      </w:r>
      <w:r>
        <w:rPr>
          <w:rStyle w:val="Accentuation"/>
          <w:rFonts w:ascii="Times" w:hAnsi="Times" w:cs="Times"/>
          <w:i w:val="0"/>
        </w:rPr>
        <w:t xml:space="preserve"> The study of combinations of operation modes B and C can be beneficial </w:t>
      </w:r>
      <w:r>
        <w:rPr>
          <w:rStyle w:val="Accentuation"/>
          <w:rFonts w:ascii="Times" w:hAnsi="Times" w:cs="Times"/>
          <w:i w:val="0"/>
        </w:rPr>
        <w:t xml:space="preserve">to improve the performance </w:t>
      </w:r>
      <w:r w:rsidR="00FA78E5">
        <w:rPr>
          <w:rStyle w:val="Accentuation"/>
          <w:rFonts w:ascii="Times" w:hAnsi="Times" w:cs="Times"/>
          <w:i w:val="0"/>
        </w:rPr>
        <w:t xml:space="preserve">of TDM solutions, which may be a more viable options for in-coverage or mixed coverage scenarios. </w:t>
      </w:r>
    </w:p>
    <w:p w14:paraId="25136FAC" w14:textId="77777777" w:rsidR="009F3AA0" w:rsidRPr="009F3AA0" w:rsidRDefault="009F3AA0" w:rsidP="009F3AA0"/>
    <w:p w14:paraId="56C3C4EE" w14:textId="09500ABC" w:rsidR="00BC428E" w:rsidRDefault="00BC428E" w:rsidP="00BC428E">
      <w:pPr>
        <w:pStyle w:val="Titre2"/>
      </w:pPr>
      <w:r>
        <w:lastRenderedPageBreak/>
        <w:t>Co-channel coexistence with resource pool overlapping</w:t>
      </w:r>
      <w:r w:rsidR="004E3F93">
        <w:t xml:space="preserve"> between LTE-V2X and NR-V2X</w:t>
      </w:r>
    </w:p>
    <w:p w14:paraId="4864A677" w14:textId="0808664D" w:rsidR="00CD092C" w:rsidRPr="00CD092C" w:rsidRDefault="00CD092C" w:rsidP="00CD092C">
      <w:pPr>
        <w:pStyle w:val="Titre4"/>
        <w:jc w:val="left"/>
        <w:rPr>
          <w:rFonts w:ascii="Times" w:hAnsi="Times" w:cs="Times"/>
          <w:iCs/>
        </w:rPr>
      </w:pPr>
      <w:r>
        <w:rPr>
          <w:rStyle w:val="Accentuation"/>
          <w:rFonts w:ascii="Times" w:hAnsi="Times" w:cs="Times"/>
          <w:i/>
        </w:rPr>
        <w:t xml:space="preserve">On </w:t>
      </w:r>
      <w:r w:rsidR="00B75786">
        <w:rPr>
          <w:rStyle w:val="Accentuation"/>
          <w:rFonts w:ascii="Times" w:hAnsi="Times" w:cs="Times"/>
          <w:i/>
        </w:rPr>
        <w:t>general</w:t>
      </w:r>
      <w:r>
        <w:rPr>
          <w:rStyle w:val="Accentuation"/>
          <w:rFonts w:ascii="Times" w:hAnsi="Times" w:cs="Times"/>
          <w:i/>
        </w:rPr>
        <w:t xml:space="preserve"> aspects of dynamic resource sharing </w:t>
      </w:r>
    </w:p>
    <w:p w14:paraId="52D8559B" w14:textId="52431C85" w:rsidR="00CD092C" w:rsidRDefault="00CD092C" w:rsidP="00A42FA2">
      <w:pPr>
        <w:rPr>
          <w:rStyle w:val="Accentuation"/>
          <w:rFonts w:ascii="Times" w:hAnsi="Times" w:cs="Times"/>
          <w:i w:val="0"/>
        </w:rPr>
      </w:pPr>
      <w:r>
        <w:rPr>
          <w:rStyle w:val="Accentuation"/>
          <w:rFonts w:ascii="Times" w:hAnsi="Times" w:cs="Times"/>
          <w:i w:val="0"/>
        </w:rPr>
        <w:t>Resource sharing may be implemented with different levels of flexibility</w:t>
      </w:r>
      <w:r w:rsidR="005744A1">
        <w:rPr>
          <w:rStyle w:val="Accentuation"/>
          <w:rFonts w:ascii="Times" w:hAnsi="Times" w:cs="Times"/>
          <w:i w:val="0"/>
        </w:rPr>
        <w:t>. Upon detection of LTE transmission, NR resource selection may apply different exclusion strategies (</w:t>
      </w:r>
      <w:proofErr w:type="gramStart"/>
      <w:r w:rsidR="005744A1">
        <w:rPr>
          <w:rStyle w:val="Accentuation"/>
          <w:rFonts w:ascii="Times" w:hAnsi="Times" w:cs="Times"/>
          <w:i w:val="0"/>
        </w:rPr>
        <w:t>e.g.</w:t>
      </w:r>
      <w:proofErr w:type="gramEnd"/>
      <w:r w:rsidR="005744A1">
        <w:rPr>
          <w:rStyle w:val="Accentuation"/>
          <w:rFonts w:ascii="Times" w:hAnsi="Times" w:cs="Times"/>
          <w:i w:val="0"/>
        </w:rPr>
        <w:t xml:space="preserve"> the subchannels sensed as occupied in the detected slot, </w:t>
      </w:r>
      <w:r w:rsidR="004C1260">
        <w:rPr>
          <w:rStyle w:val="Accentuation"/>
          <w:rFonts w:ascii="Times" w:hAnsi="Times" w:cs="Times"/>
          <w:i w:val="0"/>
        </w:rPr>
        <w:t xml:space="preserve">the whole slot, the whole resource pool </w:t>
      </w:r>
      <w:proofErr w:type="spellStart"/>
      <w:r w:rsidR="004C1260">
        <w:rPr>
          <w:rStyle w:val="Accentuation"/>
          <w:rFonts w:ascii="Times" w:hAnsi="Times" w:cs="Times"/>
          <w:i w:val="0"/>
        </w:rPr>
        <w:t>etc</w:t>
      </w:r>
      <w:proofErr w:type="spellEnd"/>
      <w:r w:rsidR="004C1260">
        <w:rPr>
          <w:rStyle w:val="Accentuation"/>
          <w:rFonts w:ascii="Times" w:hAnsi="Times" w:cs="Times"/>
          <w:i w:val="0"/>
        </w:rPr>
        <w:t xml:space="preserve">). The study should consider resource sharing with the finest granularity, </w:t>
      </w:r>
      <w:proofErr w:type="gramStart"/>
      <w:r w:rsidR="004C1260">
        <w:rPr>
          <w:rStyle w:val="Accentuation"/>
          <w:rFonts w:ascii="Times" w:hAnsi="Times" w:cs="Times"/>
          <w:i w:val="0"/>
        </w:rPr>
        <w:t>in order to</w:t>
      </w:r>
      <w:proofErr w:type="gramEnd"/>
      <w:r w:rsidR="004C1260">
        <w:rPr>
          <w:rStyle w:val="Accentuation"/>
          <w:rFonts w:ascii="Times" w:hAnsi="Times" w:cs="Times"/>
          <w:i w:val="0"/>
        </w:rPr>
        <w:t xml:space="preserve"> allow a smooth future-proof transition from LTE to NR V2X.</w:t>
      </w:r>
    </w:p>
    <w:p w14:paraId="38991587" w14:textId="39A39561" w:rsidR="004E3F93" w:rsidRDefault="004E3F93" w:rsidP="004E3F93">
      <w:pPr>
        <w:pStyle w:val="Lgende"/>
      </w:pPr>
      <w:bookmarkStart w:id="2" w:name="_Toc115477013"/>
      <w:r>
        <w:t xml:space="preserve">Proposal </w:t>
      </w:r>
      <w:r w:rsidR="00283DEC">
        <w:fldChar w:fldCharType="begin"/>
      </w:r>
      <w:r w:rsidR="00283DEC">
        <w:instrText xml:space="preserve"> SEQ Proposal \* ARABIC </w:instrText>
      </w:r>
      <w:r w:rsidR="00283DEC">
        <w:fldChar w:fldCharType="separate"/>
      </w:r>
      <w:r w:rsidR="006D0128">
        <w:rPr>
          <w:noProof/>
        </w:rPr>
        <w:t>1</w:t>
      </w:r>
      <w:r w:rsidR="00283DEC">
        <w:rPr>
          <w:noProof/>
        </w:rPr>
        <w:fldChar w:fldCharType="end"/>
      </w:r>
      <w:r>
        <w:t xml:space="preserve">: Support co-channel coexistence with </w:t>
      </w:r>
      <w:r w:rsidR="00A62D42">
        <w:t xml:space="preserve">fully </w:t>
      </w:r>
      <w:r>
        <w:t xml:space="preserve">dynamic sharing and resource pool overlapping between </w:t>
      </w:r>
      <w:r w:rsidR="00F409D9">
        <w:t>LTE-V2X and NR-V2X</w:t>
      </w:r>
      <w:r w:rsidR="00CD092C">
        <w:t>.</w:t>
      </w:r>
      <w:bookmarkEnd w:id="2"/>
    </w:p>
    <w:p w14:paraId="62C66A65" w14:textId="77777777" w:rsidR="00B75786" w:rsidRPr="004C1260" w:rsidRDefault="00B75786" w:rsidP="004C1260"/>
    <w:p w14:paraId="5BDCFF1F" w14:textId="33BAA03C" w:rsidR="004C1260" w:rsidRDefault="004C1260" w:rsidP="004C1260">
      <w:pPr>
        <w:pStyle w:val="Titre4"/>
        <w:jc w:val="left"/>
      </w:pPr>
      <w:r>
        <w:t>On device types</w:t>
      </w:r>
    </w:p>
    <w:p w14:paraId="54756C07" w14:textId="5AB40D84" w:rsidR="004C1260" w:rsidRDefault="004C1260" w:rsidP="00A42FA2">
      <w:r>
        <w:t>In RAN1#109-e, the following decision was made:</w:t>
      </w:r>
    </w:p>
    <w:p w14:paraId="0E413033" w14:textId="77777777" w:rsidR="004C1260" w:rsidRPr="004C1260" w:rsidRDefault="004C1260" w:rsidP="004C1260">
      <w:pPr>
        <w:ind w:left="363"/>
        <w:rPr>
          <w:i/>
          <w:iCs/>
          <w:lang w:eastAsia="x-none"/>
        </w:rPr>
      </w:pPr>
      <w:r w:rsidRPr="004C1260">
        <w:rPr>
          <w:i/>
          <w:iCs/>
          <w:lang w:eastAsia="x-none"/>
        </w:rPr>
        <w:t xml:space="preserve">For studying the feasibility of dynamic resource sharing as a possible solution for co-channel coexistence, </w:t>
      </w:r>
    </w:p>
    <w:p w14:paraId="75E2C0E2" w14:textId="77777777" w:rsidR="004C1260" w:rsidRPr="004C1260" w:rsidRDefault="004C1260" w:rsidP="00283DEC">
      <w:pPr>
        <w:pStyle w:val="Paragraphedeliste"/>
        <w:numPr>
          <w:ilvl w:val="0"/>
          <w:numId w:val="10"/>
        </w:numPr>
        <w:autoSpaceDE w:val="0"/>
        <w:autoSpaceDN w:val="0"/>
        <w:adjustRightInd w:val="0"/>
        <w:snapToGrid w:val="0"/>
        <w:spacing w:after="0"/>
        <w:ind w:leftChars="0" w:left="1083" w:hanging="357"/>
        <w:rPr>
          <w:bCs/>
          <w:i/>
          <w:iCs/>
          <w:lang w:eastAsia="ko-KR"/>
        </w:rPr>
      </w:pPr>
      <w:r w:rsidRPr="004C1260">
        <w:rPr>
          <w:bCs/>
          <w:i/>
          <w:iCs/>
          <w:lang w:eastAsia="ko-KR"/>
        </w:rPr>
        <w:t>For device type A, the NR SL module uses the sensing and resource reservation information shared by the LTE SL module.</w:t>
      </w:r>
    </w:p>
    <w:p w14:paraId="170E8C53" w14:textId="77777777" w:rsidR="004C1260" w:rsidRPr="004C1260" w:rsidRDefault="004C1260" w:rsidP="00283DEC">
      <w:pPr>
        <w:pStyle w:val="Paragraphedeliste"/>
        <w:numPr>
          <w:ilvl w:val="1"/>
          <w:numId w:val="10"/>
        </w:numPr>
        <w:autoSpaceDE w:val="0"/>
        <w:autoSpaceDN w:val="0"/>
        <w:adjustRightInd w:val="0"/>
        <w:snapToGrid w:val="0"/>
        <w:spacing w:after="0"/>
        <w:ind w:leftChars="0" w:left="1803"/>
        <w:rPr>
          <w:bCs/>
          <w:i/>
          <w:iCs/>
          <w:lang w:eastAsia="ko-KR"/>
        </w:rPr>
      </w:pPr>
      <w:r w:rsidRPr="004C1260">
        <w:rPr>
          <w:bCs/>
          <w:i/>
          <w:iCs/>
          <w:lang w:eastAsia="ko-KR"/>
        </w:rPr>
        <w:t>FFS details on how the NR SL module uses this information.</w:t>
      </w:r>
    </w:p>
    <w:p w14:paraId="242A071F" w14:textId="77777777" w:rsidR="004C1260" w:rsidRPr="004C1260" w:rsidRDefault="004C1260" w:rsidP="00283DEC">
      <w:pPr>
        <w:pStyle w:val="Paragraphedeliste"/>
        <w:numPr>
          <w:ilvl w:val="1"/>
          <w:numId w:val="10"/>
        </w:numPr>
        <w:autoSpaceDE w:val="0"/>
        <w:autoSpaceDN w:val="0"/>
        <w:adjustRightInd w:val="0"/>
        <w:snapToGrid w:val="0"/>
        <w:spacing w:after="0"/>
        <w:ind w:leftChars="0" w:left="1803"/>
        <w:rPr>
          <w:bCs/>
          <w:i/>
          <w:iCs/>
          <w:lang w:eastAsia="ko-KR"/>
        </w:rPr>
      </w:pPr>
      <w:r w:rsidRPr="004C1260">
        <w:rPr>
          <w:bCs/>
          <w:i/>
          <w:iCs/>
          <w:lang w:eastAsia="ko-KR"/>
        </w:rPr>
        <w:t>FFS details on how the LTE SL module shares the information to the NR SL module, exact information shared, timeline etc.</w:t>
      </w:r>
    </w:p>
    <w:p w14:paraId="7B600839" w14:textId="77777777" w:rsidR="004C1260" w:rsidRPr="004C1260" w:rsidRDefault="004C1260" w:rsidP="00283DEC">
      <w:pPr>
        <w:pStyle w:val="Paragraphedeliste"/>
        <w:numPr>
          <w:ilvl w:val="0"/>
          <w:numId w:val="10"/>
        </w:numPr>
        <w:autoSpaceDE w:val="0"/>
        <w:autoSpaceDN w:val="0"/>
        <w:adjustRightInd w:val="0"/>
        <w:snapToGrid w:val="0"/>
        <w:spacing w:after="0"/>
        <w:ind w:leftChars="0" w:left="1083" w:hanging="357"/>
        <w:rPr>
          <w:bCs/>
          <w:i/>
          <w:iCs/>
          <w:lang w:eastAsia="ko-KR"/>
        </w:rPr>
      </w:pPr>
      <w:r w:rsidRPr="004C1260">
        <w:rPr>
          <w:bCs/>
          <w:i/>
          <w:iCs/>
          <w:lang w:eastAsia="ko-KR"/>
        </w:rPr>
        <w:t>FFS: Whether/how to define other method(s) for device type A to be aware of resources being occupied by LTE SL.</w:t>
      </w:r>
    </w:p>
    <w:p w14:paraId="2E287C5A" w14:textId="77777777" w:rsidR="004C1260" w:rsidRPr="004C1260" w:rsidRDefault="004C1260" w:rsidP="00283DEC">
      <w:pPr>
        <w:pStyle w:val="Paragraphedeliste"/>
        <w:numPr>
          <w:ilvl w:val="0"/>
          <w:numId w:val="10"/>
        </w:numPr>
        <w:autoSpaceDE w:val="0"/>
        <w:autoSpaceDN w:val="0"/>
        <w:adjustRightInd w:val="0"/>
        <w:snapToGrid w:val="0"/>
        <w:spacing w:after="0"/>
        <w:ind w:leftChars="0" w:left="1083" w:hanging="357"/>
        <w:rPr>
          <w:bCs/>
          <w:i/>
          <w:iCs/>
          <w:lang w:eastAsia="ko-KR"/>
        </w:rPr>
      </w:pPr>
      <w:r w:rsidRPr="004C1260">
        <w:rPr>
          <w:bCs/>
          <w:i/>
          <w:iCs/>
          <w:lang w:eastAsia="ko-KR"/>
        </w:rPr>
        <w:t>FFS: Whether/how device type B should be supported.</w:t>
      </w:r>
    </w:p>
    <w:p w14:paraId="02D1A788" w14:textId="0E783A1A" w:rsidR="00A62D42" w:rsidRDefault="00A62D42" w:rsidP="00A62D42">
      <w:pPr>
        <w:rPr>
          <w:lang w:eastAsia="x-none"/>
        </w:rPr>
      </w:pPr>
      <w:r>
        <w:t xml:space="preserve">RAN1#110 made the following </w:t>
      </w:r>
      <w:r>
        <w:rPr>
          <w:highlight w:val="darkYellow"/>
          <w:lang w:eastAsia="x-none"/>
        </w:rPr>
        <w:t>w</w:t>
      </w:r>
      <w:r w:rsidRPr="00174CE8">
        <w:rPr>
          <w:highlight w:val="darkYellow"/>
          <w:lang w:eastAsia="x-none"/>
        </w:rPr>
        <w:t>orking assumption</w:t>
      </w:r>
    </w:p>
    <w:p w14:paraId="4014B0E6" w14:textId="77777777" w:rsidR="00A62D42" w:rsidRPr="00A62D42" w:rsidRDefault="00A62D42" w:rsidP="00A62D42">
      <w:pPr>
        <w:ind w:left="720"/>
        <w:rPr>
          <w:i/>
          <w:iCs/>
          <w:lang w:eastAsia="ko-KR"/>
        </w:rPr>
      </w:pPr>
      <w:r w:rsidRPr="00A62D42">
        <w:rPr>
          <w:rFonts w:eastAsia="MS Mincho"/>
          <w:i/>
          <w:iCs/>
        </w:rPr>
        <w:t xml:space="preserve">Co-channel coexistence between LTE SL and NR SL is supported for device type A. Device type A contains both LTE SL and NR SL modules. </w:t>
      </w:r>
      <w:r w:rsidRPr="00A62D42">
        <w:rPr>
          <w:i/>
          <w:iCs/>
          <w:lang w:eastAsia="ko-KR"/>
        </w:rPr>
        <w:t>For device type A, the NR SL module may use the sensing and resource reservation information shared by the LTE SL module.</w:t>
      </w:r>
    </w:p>
    <w:p w14:paraId="38888F92" w14:textId="1D599504" w:rsidR="0099603F" w:rsidRDefault="00A62D42" w:rsidP="00A42FA2">
      <w:r>
        <w:t xml:space="preserve">While this gives some perspective on </w:t>
      </w:r>
      <w:r w:rsidR="00EA54CA">
        <w:t>how</w:t>
      </w:r>
      <w:r>
        <w:t xml:space="preserve"> a device type A </w:t>
      </w:r>
      <w:r w:rsidR="00EA54CA">
        <w:t>behaves</w:t>
      </w:r>
      <w:r>
        <w:t xml:space="preserve">, </w:t>
      </w:r>
      <w:r w:rsidR="00EA54CA">
        <w:t>the group didn’t manage to define device type B</w:t>
      </w:r>
      <w:r w:rsidR="00526385">
        <w:t xml:space="preserve">. </w:t>
      </w:r>
      <w:r w:rsidR="0099603F">
        <w:t xml:space="preserve">Also, the current wording of the working assumption </w:t>
      </w:r>
      <w:r w:rsidR="00BD517E">
        <w:t>states that the</w:t>
      </w:r>
      <w:r w:rsidR="0099603F">
        <w:t xml:space="preserve"> NR SL module </w:t>
      </w:r>
      <w:r w:rsidR="00BD517E">
        <w:t xml:space="preserve">“may use” the sensing shared by the LTE module, without setting any limitation on the case where </w:t>
      </w:r>
      <w:r w:rsidR="00EA54CA">
        <w:t>the NR module</w:t>
      </w:r>
      <w:r w:rsidR="00BD517E">
        <w:t xml:space="preserve"> </w:t>
      </w:r>
      <w:r w:rsidR="00EA54CA">
        <w:t>may choose</w:t>
      </w:r>
      <w:r w:rsidR="00BD517E">
        <w:t xml:space="preserve"> to ignore the sensing from the dual LTE module. We believe that all NR devices allowed to coexist must be aware of the resources being occupied by LTE transmissions.</w:t>
      </w:r>
      <w:r w:rsidR="000C3C03">
        <w:t xml:space="preserve"> </w:t>
      </w:r>
      <w:r w:rsidR="00DC6528">
        <w:t xml:space="preserve">Whether the NR module acquires this knowledge from a collocated LTE module or by other means is of lesser importance. </w:t>
      </w:r>
    </w:p>
    <w:p w14:paraId="4E4F562C" w14:textId="5DDCDEE0" w:rsidR="00A62D42" w:rsidRDefault="0099603F" w:rsidP="00A42FA2">
      <w:r>
        <w:t>S</w:t>
      </w:r>
      <w:r w:rsidR="00526385">
        <w:t xml:space="preserve">ome devices which are not dual module devices (and thus </w:t>
      </w:r>
      <w:r>
        <w:t>may not</w:t>
      </w:r>
      <w:r w:rsidR="00526385">
        <w:t xml:space="preserve"> qualify as “type A” according to the previous agreements) can equally be supported with </w:t>
      </w:r>
      <w:r>
        <w:t>a limited</w:t>
      </w:r>
      <w:r w:rsidR="00526385">
        <w:t xml:space="preserve"> </w:t>
      </w:r>
      <w:r w:rsidR="00EA54CA">
        <w:t xml:space="preserve">(or none) </w:t>
      </w:r>
      <w:r w:rsidR="00526385">
        <w:t>effort</w:t>
      </w:r>
      <w:r>
        <w:t xml:space="preserve"> on top of what needs to be done for dual module devices</w:t>
      </w:r>
      <w:r w:rsidR="00526385">
        <w:t xml:space="preserve">. </w:t>
      </w:r>
      <w:r>
        <w:t xml:space="preserve">Examples for such devices are </w:t>
      </w:r>
      <w:r w:rsidR="00526385">
        <w:t>NR devices where the NR module is able of detecting the LTE transmission (</w:t>
      </w:r>
      <w:proofErr w:type="gramStart"/>
      <w:r w:rsidR="00526385">
        <w:t>e.g.</w:t>
      </w:r>
      <w:proofErr w:type="gramEnd"/>
      <w:r w:rsidR="00526385">
        <w:t xml:space="preserve"> blindly</w:t>
      </w:r>
      <w:r w:rsidR="00DC6528">
        <w:t>, based on RRSI measurements</w:t>
      </w:r>
      <w:r w:rsidR="00526385">
        <w:t xml:space="preserve">, able of decoding </w:t>
      </w:r>
      <w:r w:rsidR="00DC6528">
        <w:t xml:space="preserve">LTE </w:t>
      </w:r>
      <w:r w:rsidR="00526385">
        <w:t>SCI</w:t>
      </w:r>
      <w:r w:rsidR="00DC6528">
        <w:t xml:space="preserve">, </w:t>
      </w:r>
      <w:proofErr w:type="spellStart"/>
      <w:r w:rsidR="00DC6528">
        <w:t>etc</w:t>
      </w:r>
      <w:proofErr w:type="spellEnd"/>
      <w:r w:rsidR="00526385">
        <w:t>), or where it can obtain sensing information through inter-UE coordination</w:t>
      </w:r>
      <w:r>
        <w:t>, etc</w:t>
      </w:r>
      <w:r w:rsidR="00526385">
        <w:t>.</w:t>
      </w:r>
      <w:r w:rsidR="00B57788">
        <w:t xml:space="preserve"> </w:t>
      </w:r>
    </w:p>
    <w:p w14:paraId="0CB1247E" w14:textId="7A21AC95" w:rsidR="00A62D42" w:rsidRPr="0099603F" w:rsidRDefault="0099603F" w:rsidP="0099603F">
      <w:pPr>
        <w:pStyle w:val="Lgende"/>
      </w:pPr>
      <w:bookmarkStart w:id="3" w:name="_Toc115477014"/>
      <w:r>
        <w:t xml:space="preserve">Proposal </w:t>
      </w:r>
      <w:fldSimple w:instr=" SEQ Proposal \* ARABIC ">
        <w:r w:rsidR="006D0128">
          <w:rPr>
            <w:noProof/>
          </w:rPr>
          <w:t>2</w:t>
        </w:r>
      </w:fldSimple>
      <w:r>
        <w:t xml:space="preserve">: </w:t>
      </w:r>
      <w:r w:rsidRPr="0099603F">
        <w:rPr>
          <w:rFonts w:eastAsia="MS Mincho"/>
        </w:rPr>
        <w:t xml:space="preserve">Co-channel coexistence between LTE SL and NR SL is supported for </w:t>
      </w:r>
      <w:r w:rsidRPr="0099603F">
        <w:rPr>
          <w:rFonts w:eastAsia="MS Mincho"/>
        </w:rPr>
        <w:t xml:space="preserve">NR </w:t>
      </w:r>
      <w:r w:rsidRPr="0099603F">
        <w:rPr>
          <w:rFonts w:eastAsia="MS Mincho"/>
        </w:rPr>
        <w:t>device</w:t>
      </w:r>
      <w:r w:rsidRPr="0099603F">
        <w:rPr>
          <w:rFonts w:eastAsia="MS Mincho"/>
        </w:rPr>
        <w:t xml:space="preserve">s </w:t>
      </w:r>
      <w:r w:rsidRPr="0099603F">
        <w:rPr>
          <w:bCs/>
          <w:lang w:eastAsia="ko-KR"/>
        </w:rPr>
        <w:t>aware of resources being occupied by LTE SL.</w:t>
      </w:r>
      <w:r>
        <w:rPr>
          <w:bCs/>
          <w:i/>
          <w:iCs/>
          <w:lang w:eastAsia="ko-KR"/>
        </w:rPr>
        <w:t xml:space="preserve"> </w:t>
      </w:r>
      <w:r>
        <w:rPr>
          <w:bCs/>
          <w:lang w:eastAsia="ko-KR"/>
        </w:rPr>
        <w:t xml:space="preserve">This includes dual module devices where the NR module uses the sensing and resource reservation information shared by the LTE module. FFS </w:t>
      </w:r>
      <w:r w:rsidRPr="0099603F">
        <w:rPr>
          <w:bCs/>
          <w:lang w:eastAsia="ko-KR"/>
        </w:rPr>
        <w:t xml:space="preserve">other method(s) for </w:t>
      </w:r>
      <w:r>
        <w:rPr>
          <w:bCs/>
          <w:lang w:eastAsia="ko-KR"/>
        </w:rPr>
        <w:t>the NR module</w:t>
      </w:r>
      <w:r w:rsidRPr="0099603F">
        <w:rPr>
          <w:bCs/>
          <w:lang w:eastAsia="ko-KR"/>
        </w:rPr>
        <w:t xml:space="preserve"> to be aware of resources being occupied by LTE SL.</w:t>
      </w:r>
      <w:bookmarkEnd w:id="3"/>
    </w:p>
    <w:p w14:paraId="65C12E8F" w14:textId="77777777" w:rsidR="00F60BEF" w:rsidRDefault="00F60BEF" w:rsidP="00B55DA8"/>
    <w:p w14:paraId="2AE2A9CB" w14:textId="175D918B" w:rsidR="00B75786" w:rsidRDefault="00B75786" w:rsidP="00F60BEF">
      <w:pPr>
        <w:pStyle w:val="Titre4"/>
        <w:jc w:val="left"/>
      </w:pPr>
      <w:r>
        <w:t>On subcarrier spacing for dynamic resource sharing</w:t>
      </w:r>
    </w:p>
    <w:p w14:paraId="39B88AF2" w14:textId="53E5E2B8" w:rsidR="00FB3DB0" w:rsidRPr="00027B8C" w:rsidRDefault="00EA54CA" w:rsidP="00FB3DB0">
      <w:pPr>
        <w:pStyle w:val="3GPPNormalText"/>
        <w:spacing w:before="120" w:after="0"/>
        <w:rPr>
          <w:bCs/>
          <w:sz w:val="20"/>
          <w:lang w:val="en-GB"/>
        </w:rPr>
      </w:pPr>
      <w:r w:rsidRPr="00027B8C">
        <w:rPr>
          <w:bCs/>
          <w:sz w:val="20"/>
          <w:lang w:val="en-GB"/>
        </w:rPr>
        <w:t>In RAN1#110, the following agreement was made:</w:t>
      </w:r>
    </w:p>
    <w:p w14:paraId="77B742BF" w14:textId="77777777" w:rsidR="00FB3DB0" w:rsidRPr="00027B8C" w:rsidRDefault="00FB3DB0" w:rsidP="000C3C03">
      <w:pPr>
        <w:spacing w:line="259" w:lineRule="auto"/>
        <w:ind w:left="360"/>
        <w:rPr>
          <w:rFonts w:eastAsia="MS Mincho"/>
          <w:i/>
          <w:iCs/>
        </w:rPr>
      </w:pPr>
      <w:r w:rsidRPr="00027B8C">
        <w:rPr>
          <w:rFonts w:eastAsia="MS Mincho"/>
          <w:i/>
          <w:iCs/>
        </w:rPr>
        <w:lastRenderedPageBreak/>
        <w:t>For co-channel coexistence in Rel-18, dynamic resource pool sharing is studied, with the following constraints:</w:t>
      </w:r>
    </w:p>
    <w:p w14:paraId="4C889B9D" w14:textId="77777777" w:rsidR="00FB3DB0" w:rsidRPr="00027B8C" w:rsidRDefault="00FB3DB0" w:rsidP="00283DEC">
      <w:pPr>
        <w:pStyle w:val="Paragraphedeliste"/>
        <w:numPr>
          <w:ilvl w:val="1"/>
          <w:numId w:val="11"/>
        </w:numPr>
        <w:spacing w:after="0" w:line="259" w:lineRule="auto"/>
        <w:ind w:leftChars="0" w:left="1080"/>
        <w:rPr>
          <w:rFonts w:eastAsia="MS Mincho"/>
          <w:i/>
          <w:iCs/>
        </w:rPr>
      </w:pPr>
      <w:r w:rsidRPr="00027B8C">
        <w:rPr>
          <w:rFonts w:eastAsia="MS Mincho"/>
          <w:i/>
          <w:iCs/>
        </w:rPr>
        <w:t>NR SL resource pool is configured with 15 kHz SCS.</w:t>
      </w:r>
    </w:p>
    <w:p w14:paraId="2FC6A430" w14:textId="77777777" w:rsidR="00FB3DB0" w:rsidRPr="00027B8C" w:rsidRDefault="00FB3DB0" w:rsidP="00283DEC">
      <w:pPr>
        <w:pStyle w:val="Paragraphedeliste"/>
        <w:numPr>
          <w:ilvl w:val="2"/>
          <w:numId w:val="11"/>
        </w:numPr>
        <w:spacing w:after="0" w:line="259" w:lineRule="auto"/>
        <w:ind w:leftChars="0" w:left="1440"/>
        <w:rPr>
          <w:rFonts w:eastAsia="MS Mincho"/>
          <w:i/>
          <w:iCs/>
        </w:rPr>
      </w:pPr>
      <w:r w:rsidRPr="00027B8C">
        <w:rPr>
          <w:rFonts w:eastAsia="MS Mincho"/>
          <w:i/>
          <w:iCs/>
        </w:rPr>
        <w:t>FFS support of NR SL resource pool configured with higher SCS, including other solutions to overcome the AGC issue caused by the differing SCSs between the NR SL and LTE SL resource pools</w:t>
      </w:r>
    </w:p>
    <w:p w14:paraId="72958A38" w14:textId="77777777" w:rsidR="00FB3DB0" w:rsidRPr="00027B8C" w:rsidRDefault="00FB3DB0" w:rsidP="00283DEC">
      <w:pPr>
        <w:pStyle w:val="Paragraphedeliste"/>
        <w:numPr>
          <w:ilvl w:val="1"/>
          <w:numId w:val="11"/>
        </w:numPr>
        <w:spacing w:after="0" w:line="259" w:lineRule="auto"/>
        <w:ind w:leftChars="0" w:left="1080"/>
        <w:rPr>
          <w:rFonts w:eastAsia="MS Mincho"/>
          <w:i/>
          <w:iCs/>
        </w:rPr>
      </w:pPr>
      <w:r w:rsidRPr="00027B8C">
        <w:rPr>
          <w:rFonts w:eastAsia="MS Mincho"/>
          <w:i/>
          <w:iCs/>
        </w:rPr>
        <w:t>For NR PSFCH (if configured), at least the following alternatives are studied:</w:t>
      </w:r>
    </w:p>
    <w:p w14:paraId="6DE47CCE" w14:textId="77777777" w:rsidR="00FB3DB0" w:rsidRPr="00027B8C" w:rsidRDefault="00FB3DB0" w:rsidP="00283DEC">
      <w:pPr>
        <w:pStyle w:val="Paragraphedeliste"/>
        <w:numPr>
          <w:ilvl w:val="2"/>
          <w:numId w:val="11"/>
        </w:numPr>
        <w:spacing w:after="0" w:line="259" w:lineRule="auto"/>
        <w:ind w:leftChars="0" w:left="1440"/>
        <w:rPr>
          <w:rFonts w:eastAsia="MS Mincho"/>
          <w:i/>
          <w:iCs/>
        </w:rPr>
      </w:pPr>
      <w:r w:rsidRPr="00027B8C">
        <w:rPr>
          <w:rFonts w:eastAsia="MS Mincho"/>
          <w:i/>
          <w:iCs/>
        </w:rPr>
        <w:t>Alt 1: Avoid PSFCH transmission in time slots that overlap with subframes used for LTE SL transmissions.</w:t>
      </w:r>
    </w:p>
    <w:p w14:paraId="7194CB6A" w14:textId="77777777" w:rsidR="00FB3DB0" w:rsidRPr="00027B8C" w:rsidRDefault="00FB3DB0" w:rsidP="00283DEC">
      <w:pPr>
        <w:pStyle w:val="Paragraphedeliste"/>
        <w:numPr>
          <w:ilvl w:val="3"/>
          <w:numId w:val="11"/>
        </w:numPr>
        <w:spacing w:after="0" w:line="259" w:lineRule="auto"/>
        <w:ind w:leftChars="0" w:left="1800"/>
        <w:rPr>
          <w:rFonts w:eastAsia="MS Mincho"/>
          <w:i/>
          <w:iCs/>
        </w:rPr>
      </w:pPr>
      <w:r w:rsidRPr="00027B8C">
        <w:rPr>
          <w:rFonts w:eastAsia="MS Mincho"/>
          <w:i/>
          <w:iCs/>
        </w:rPr>
        <w:t>FFS: Avoiding PSFCH transmissions can be performed by the UE transmitting PSFCH and/or the UE transmitting PSSCH.</w:t>
      </w:r>
    </w:p>
    <w:p w14:paraId="744CA6F4" w14:textId="77777777" w:rsidR="00FB3DB0" w:rsidRPr="00027B8C" w:rsidRDefault="00FB3DB0" w:rsidP="00283DEC">
      <w:pPr>
        <w:pStyle w:val="Paragraphedeliste"/>
        <w:numPr>
          <w:ilvl w:val="2"/>
          <w:numId w:val="11"/>
        </w:numPr>
        <w:spacing w:after="0" w:line="259" w:lineRule="auto"/>
        <w:ind w:leftChars="0" w:left="1440"/>
        <w:rPr>
          <w:rFonts w:eastAsia="MS Mincho"/>
          <w:i/>
          <w:iCs/>
        </w:rPr>
      </w:pPr>
      <w:r w:rsidRPr="00027B8C">
        <w:rPr>
          <w:rFonts w:eastAsia="MS Mincho"/>
          <w:i/>
          <w:iCs/>
        </w:rPr>
        <w:t>Alt 2: NR SL UEs use a periodically repeating set of PSFCH slots.</w:t>
      </w:r>
    </w:p>
    <w:p w14:paraId="3BADCBD0" w14:textId="77777777" w:rsidR="00FB3DB0" w:rsidRPr="00027B8C" w:rsidRDefault="00FB3DB0" w:rsidP="00283DEC">
      <w:pPr>
        <w:pStyle w:val="Paragraphedeliste"/>
        <w:numPr>
          <w:ilvl w:val="3"/>
          <w:numId w:val="11"/>
        </w:numPr>
        <w:spacing w:after="0" w:line="259" w:lineRule="auto"/>
        <w:ind w:leftChars="0" w:left="1800"/>
        <w:rPr>
          <w:rFonts w:eastAsia="MS Mincho"/>
          <w:i/>
          <w:iCs/>
        </w:rPr>
      </w:pPr>
      <w:r w:rsidRPr="00027B8C">
        <w:rPr>
          <w:rFonts w:eastAsia="MS Mincho"/>
          <w:i/>
          <w:iCs/>
        </w:rPr>
        <w:t>FFS: periodicities of the set.</w:t>
      </w:r>
    </w:p>
    <w:p w14:paraId="74DF760D" w14:textId="3BC0D1DC" w:rsidR="00B75786" w:rsidRPr="00027B8C" w:rsidRDefault="00B75786" w:rsidP="00B75786"/>
    <w:p w14:paraId="6F3FA62F" w14:textId="717EEEFC" w:rsidR="00B75786" w:rsidRDefault="00EA54CA" w:rsidP="00B75786">
      <w:r w:rsidRPr="00027B8C">
        <w:t>One of the main purposes of co-channel coexistence is to ensure smooth and spectrally efficient transition from LTE to NR V2X</w:t>
      </w:r>
      <w:r w:rsidR="00027B8C">
        <w:t xml:space="preserve">. It would be beneficial to have a flexible solution allowing to map any NR traffic into </w:t>
      </w:r>
      <w:proofErr w:type="gramStart"/>
      <w:r w:rsidR="00027B8C">
        <w:t>a</w:t>
      </w:r>
      <w:proofErr w:type="gramEnd"/>
      <w:r w:rsidR="00027B8C">
        <w:t xml:space="preserve"> LTE resource pool, without limitations on the subcarrier spacing.</w:t>
      </w:r>
    </w:p>
    <w:p w14:paraId="10B2128A" w14:textId="1A7DF607" w:rsidR="00EA54CA" w:rsidRDefault="00EA54CA" w:rsidP="00B75786"/>
    <w:p w14:paraId="225091FC" w14:textId="54988BDD" w:rsidR="001D5FDB" w:rsidRDefault="00F60BEF" w:rsidP="00F60BEF">
      <w:pPr>
        <w:pStyle w:val="Titre4"/>
        <w:jc w:val="left"/>
      </w:pPr>
      <w:r>
        <w:t>On combinations of operation modes</w:t>
      </w:r>
    </w:p>
    <w:p w14:paraId="2331F9F4" w14:textId="49D01174" w:rsidR="00F60BEF" w:rsidRDefault="00721341" w:rsidP="00A42FA2">
      <w:r>
        <w:t>In RAN1#109e, the following agreement was made:</w:t>
      </w:r>
    </w:p>
    <w:p w14:paraId="040030A0" w14:textId="77777777" w:rsidR="00F60BEF" w:rsidRPr="00721341" w:rsidRDefault="00F60BEF" w:rsidP="00721341">
      <w:pPr>
        <w:ind w:left="360"/>
        <w:rPr>
          <w:i/>
          <w:iCs/>
          <w:lang w:eastAsia="x-none"/>
        </w:rPr>
      </w:pPr>
      <w:r w:rsidRPr="00721341">
        <w:rPr>
          <w:i/>
          <w:iCs/>
          <w:lang w:eastAsia="x-none"/>
        </w:rPr>
        <w:t>For the study of co-channel coexistence solutions in Rel-18, the combination of operational modes Mode 2 NR SL with Mode 4 LTE SL (Combination A) is considered with high priority.</w:t>
      </w:r>
    </w:p>
    <w:p w14:paraId="16562C11" w14:textId="77777777" w:rsidR="00F60BEF" w:rsidRPr="00721341" w:rsidRDefault="00F60BEF" w:rsidP="00283DEC">
      <w:pPr>
        <w:pStyle w:val="Paragraphedeliste"/>
        <w:numPr>
          <w:ilvl w:val="0"/>
          <w:numId w:val="9"/>
        </w:numPr>
        <w:overflowPunct w:val="0"/>
        <w:autoSpaceDE w:val="0"/>
        <w:autoSpaceDN w:val="0"/>
        <w:adjustRightInd w:val="0"/>
        <w:spacing w:after="180"/>
        <w:ind w:leftChars="0" w:left="1080"/>
        <w:contextualSpacing/>
        <w:jc w:val="left"/>
        <w:textAlignment w:val="baseline"/>
        <w:rPr>
          <w:i/>
          <w:iCs/>
          <w:lang w:eastAsia="ko-KR"/>
        </w:rPr>
      </w:pPr>
      <w:r w:rsidRPr="00721341">
        <w:rPr>
          <w:i/>
          <w:iCs/>
          <w:lang w:eastAsia="ko-KR"/>
        </w:rPr>
        <w:t>FFS: Whether/how</w:t>
      </w:r>
      <w:r w:rsidRPr="00721341">
        <w:rPr>
          <w:i/>
          <w:iCs/>
          <w:color w:val="5B9BD5"/>
          <w:lang w:eastAsia="ko-KR"/>
        </w:rPr>
        <w:t xml:space="preserve"> </w:t>
      </w:r>
      <w:r w:rsidRPr="00721341">
        <w:rPr>
          <w:i/>
          <w:iCs/>
          <w:lang w:eastAsia="ko-KR"/>
        </w:rPr>
        <w:t>to support Mode 1 NR SL + Mode 4 LTE SL (Combination B) and/or Mode 2 NR SL + Mode 3 LTE SL (Combination C).</w:t>
      </w:r>
    </w:p>
    <w:p w14:paraId="29560681" w14:textId="7E478C65" w:rsidR="00EA54CA" w:rsidRDefault="00EA54CA" w:rsidP="00A42FA2">
      <w:r>
        <w:t xml:space="preserve">RAN plenary guidance encouraged RAN1 </w:t>
      </w:r>
      <w:proofErr w:type="spellStart"/>
      <w:r w:rsidR="009F3AA0" w:rsidRPr="003413BE">
        <w:rPr>
          <w:rFonts w:eastAsia="MS Mincho"/>
          <w:i/>
          <w:iCs/>
        </w:rPr>
        <w:t>to</w:t>
      </w:r>
      <w:proofErr w:type="spellEnd"/>
      <w:r w:rsidR="009F3AA0" w:rsidRPr="003413BE">
        <w:rPr>
          <w:rFonts w:eastAsia="MS Mincho"/>
          <w:i/>
          <w:iCs/>
        </w:rPr>
        <w:t xml:space="preserve"> </w:t>
      </w:r>
      <w:r w:rsidR="00FB3DB0" w:rsidRPr="00FB3DB0">
        <w:rPr>
          <w:i/>
          <w:iCs/>
        </w:rPr>
        <w:t xml:space="preserve">continue the work on dynamic resource pool sharing </w:t>
      </w:r>
      <w:r w:rsidR="009F3AA0">
        <w:rPr>
          <w:i/>
          <w:iCs/>
        </w:rPr>
        <w:t>[…]</w:t>
      </w:r>
      <w:r w:rsidR="00FB3DB0" w:rsidRPr="00FB3DB0">
        <w:rPr>
          <w:i/>
          <w:iCs/>
        </w:rPr>
        <w:t xml:space="preserve"> with high priority for Type A devices and operating combination A</w:t>
      </w:r>
      <w:r w:rsidR="009F3AA0">
        <w:t>.</w:t>
      </w:r>
    </w:p>
    <w:p w14:paraId="1C0EEF54" w14:textId="40C38F1C" w:rsidR="00F60BEF" w:rsidRDefault="00BE2578" w:rsidP="00A42FA2">
      <w:r>
        <w:t xml:space="preserve">Combinations B and C should be equally considered. </w:t>
      </w:r>
      <w:r w:rsidR="00D377C9">
        <w:t>With respect to the specification support required by Combination A, s</w:t>
      </w:r>
      <w:r>
        <w:t>upport of combination</w:t>
      </w:r>
      <w:r w:rsidR="00D377C9">
        <w:t>s</w:t>
      </w:r>
      <w:r>
        <w:t xml:space="preserve"> </w:t>
      </w:r>
      <w:r w:rsidR="00D377C9">
        <w:t xml:space="preserve">B and </w:t>
      </w:r>
      <w:r>
        <w:t xml:space="preserve">C </w:t>
      </w:r>
      <w:r w:rsidR="00D377C9">
        <w:t>are likely to</w:t>
      </w:r>
      <w:r>
        <w:t xml:space="preserve"> require very limited (</w:t>
      </w:r>
      <w:r w:rsidR="00D377C9">
        <w:t>in the case of Combination C,</w:t>
      </w:r>
      <w:r w:rsidR="00D377C9" w:rsidRPr="00D377C9">
        <w:t xml:space="preserve"> </w:t>
      </w:r>
      <w:r w:rsidR="00D377C9">
        <w:t>potentially none</w:t>
      </w:r>
      <w:r>
        <w:t xml:space="preserve">) </w:t>
      </w:r>
      <w:r w:rsidR="00D377C9">
        <w:t>extra work.</w:t>
      </w:r>
    </w:p>
    <w:p w14:paraId="1002FD4B" w14:textId="04FA15A9" w:rsidR="00D377C9" w:rsidRDefault="00D377C9" w:rsidP="00D377C9">
      <w:pPr>
        <w:pStyle w:val="Lgende"/>
        <w:rPr>
          <w:i/>
          <w:iCs/>
          <w:lang w:eastAsia="x-none"/>
        </w:rPr>
      </w:pPr>
      <w:bookmarkStart w:id="4" w:name="_Toc115477015"/>
      <w:r>
        <w:t xml:space="preserve">Proposal </w:t>
      </w:r>
      <w:r w:rsidR="00283DEC">
        <w:fldChar w:fldCharType="begin"/>
      </w:r>
      <w:r w:rsidR="00283DEC">
        <w:instrText xml:space="preserve"> SEQ Proposal \* ARABIC </w:instrText>
      </w:r>
      <w:r w:rsidR="00283DEC">
        <w:fldChar w:fldCharType="separate"/>
      </w:r>
      <w:r w:rsidR="006D0128">
        <w:rPr>
          <w:noProof/>
        </w:rPr>
        <w:t>3</w:t>
      </w:r>
      <w:r w:rsidR="00283DEC">
        <w:rPr>
          <w:noProof/>
        </w:rPr>
        <w:fldChar w:fldCharType="end"/>
      </w:r>
      <w:r>
        <w:t xml:space="preserve">: </w:t>
      </w:r>
      <w:r w:rsidRPr="00453C85">
        <w:rPr>
          <w:lang w:eastAsia="x-none"/>
        </w:rPr>
        <w:t>For the study of co-channel coexistence solutions in Rel-18, combination of operational modes B and C are also considered</w:t>
      </w:r>
      <w:r>
        <w:rPr>
          <w:i/>
          <w:iCs/>
          <w:lang w:eastAsia="x-none"/>
        </w:rPr>
        <w:t>.</w:t>
      </w:r>
      <w:bookmarkEnd w:id="4"/>
    </w:p>
    <w:p w14:paraId="459146C3" w14:textId="77777777" w:rsidR="008D3E7E" w:rsidRPr="008D3E7E" w:rsidRDefault="008D3E7E" w:rsidP="008D3E7E">
      <w:pPr>
        <w:rPr>
          <w:lang w:eastAsia="x-none"/>
        </w:rPr>
      </w:pPr>
    </w:p>
    <w:p w14:paraId="645FD067" w14:textId="3B8402F2" w:rsidR="0025756D" w:rsidRDefault="0025756D" w:rsidP="0025756D">
      <w:pPr>
        <w:pStyle w:val="Titre4"/>
        <w:jc w:val="left"/>
      </w:pPr>
      <w:r>
        <w:t>On other study topics</w:t>
      </w:r>
    </w:p>
    <w:p w14:paraId="74B87687" w14:textId="240EBC70" w:rsidR="0074588C" w:rsidRDefault="0074588C" w:rsidP="00A42FA2">
      <w:r>
        <w:t>LTE and NR V2X have different waveforms/signal structures/RS positions. One other important difference is that NR supports PSFCH transmission. Specification impact is expected at least on the following topics:</w:t>
      </w:r>
    </w:p>
    <w:p w14:paraId="5CBB654C" w14:textId="51A919B9" w:rsidR="0074588C" w:rsidRDefault="0074588C" w:rsidP="00283DEC">
      <w:pPr>
        <w:pStyle w:val="Paragraphedeliste"/>
        <w:numPr>
          <w:ilvl w:val="0"/>
          <w:numId w:val="8"/>
        </w:numPr>
        <w:ind w:leftChars="0"/>
      </w:pPr>
      <w:r>
        <w:t xml:space="preserve">Resource allocation modifications to NR Rel.17 procedure </w:t>
      </w:r>
      <w:proofErr w:type="gramStart"/>
      <w:r>
        <w:t>in order to</w:t>
      </w:r>
      <w:proofErr w:type="gramEnd"/>
      <w:r>
        <w:t xml:space="preserve"> take into account the LTE reservation in overlapping resources. LTE scheduling assignment can be known by NR at least by in-device exchanges between the two RATs for dual module UEs. Whether direct detection of LTE reservation is also feasible in a reliable manner without major hardware changes can be for further discussion.</w:t>
      </w:r>
    </w:p>
    <w:p w14:paraId="5F4CA2F3" w14:textId="10317524" w:rsidR="0074588C" w:rsidRDefault="0074588C" w:rsidP="00283DEC">
      <w:pPr>
        <w:pStyle w:val="Paragraphedeliste"/>
        <w:numPr>
          <w:ilvl w:val="0"/>
          <w:numId w:val="8"/>
        </w:numPr>
        <w:ind w:leftChars="0"/>
      </w:pPr>
      <w:r>
        <w:t xml:space="preserve">Solutions for enabling NR with PSFCH enabled to coexist with LTE </w:t>
      </w:r>
    </w:p>
    <w:p w14:paraId="546798BB" w14:textId="7F74CC88" w:rsidR="00D44DF2" w:rsidRDefault="00D44DF2" w:rsidP="00283DEC">
      <w:pPr>
        <w:pStyle w:val="Paragraphedeliste"/>
        <w:numPr>
          <w:ilvl w:val="0"/>
          <w:numId w:val="8"/>
        </w:numPr>
        <w:ind w:leftChars="0"/>
      </w:pPr>
      <w:r>
        <w:t xml:space="preserve">Solutions for coexistence and cross-RAT interpretation of </w:t>
      </w:r>
      <w:proofErr w:type="spellStart"/>
      <w:r>
        <w:t>sidelink</w:t>
      </w:r>
      <w:proofErr w:type="spellEnd"/>
      <w:r>
        <w:t xml:space="preserve"> synchronization signals</w:t>
      </w:r>
    </w:p>
    <w:p w14:paraId="3E9EC885" w14:textId="30E14765" w:rsidR="0074588C" w:rsidRDefault="00D44DF2" w:rsidP="00D44DF2">
      <w:pPr>
        <w:pStyle w:val="Lgende"/>
      </w:pPr>
      <w:bookmarkStart w:id="5" w:name="_Hlk109255619"/>
      <w:bookmarkStart w:id="6" w:name="_Toc115477016"/>
      <w:r>
        <w:lastRenderedPageBreak/>
        <w:t xml:space="preserve">Proposal </w:t>
      </w:r>
      <w:r w:rsidR="00283DEC">
        <w:fldChar w:fldCharType="begin"/>
      </w:r>
      <w:r w:rsidR="00283DEC">
        <w:instrText xml:space="preserve"> S</w:instrText>
      </w:r>
      <w:r w:rsidR="00283DEC">
        <w:instrText xml:space="preserve">EQ Proposal \* ARABIC </w:instrText>
      </w:r>
      <w:r w:rsidR="00283DEC">
        <w:fldChar w:fldCharType="separate"/>
      </w:r>
      <w:r w:rsidR="006D0128">
        <w:rPr>
          <w:noProof/>
        </w:rPr>
        <w:t>4</w:t>
      </w:r>
      <w:r w:rsidR="00283DEC">
        <w:rPr>
          <w:noProof/>
        </w:rPr>
        <w:fldChar w:fldCharType="end"/>
      </w:r>
      <w:r>
        <w:t xml:space="preserve">: </w:t>
      </w:r>
      <w:bookmarkEnd w:id="5"/>
      <w:r>
        <w:t xml:space="preserve">For co-channel coexistence on overlapped resource pools, study the feasibility and benefits of at least the following solutions: </w:t>
      </w:r>
      <w:r>
        <w:tab/>
      </w:r>
      <w:r>
        <w:br/>
      </w:r>
      <w:r>
        <w:tab/>
        <w:t>- Resource allocation modifications to NR Rel.17 procedure in order to take into account the LTE reservation in overlapping resources</w:t>
      </w:r>
      <w:r>
        <w:tab/>
      </w:r>
      <w:r>
        <w:br/>
      </w:r>
      <w:r>
        <w:tab/>
        <w:t>- Solutions for enabling NR with PSFCH enabled to coexist with LTE</w:t>
      </w:r>
      <w:r>
        <w:tab/>
      </w:r>
      <w:r>
        <w:br/>
      </w:r>
      <w:r>
        <w:tab/>
        <w:t xml:space="preserve">- Solutions for coexistence and cross-RAT interpretation of </w:t>
      </w:r>
      <w:proofErr w:type="spellStart"/>
      <w:r>
        <w:t>sidelink</w:t>
      </w:r>
      <w:proofErr w:type="spellEnd"/>
      <w:r>
        <w:t xml:space="preserve"> synchronization signals</w:t>
      </w:r>
      <w:bookmarkEnd w:id="6"/>
    </w:p>
    <w:p w14:paraId="53C0DEA4" w14:textId="292A2613" w:rsidR="00626243" w:rsidRDefault="00626243" w:rsidP="00626243"/>
    <w:p w14:paraId="4C35088F" w14:textId="77777777" w:rsidR="00874CBF" w:rsidRPr="005A5D80" w:rsidRDefault="00874CBF" w:rsidP="0001704B">
      <w:pPr>
        <w:pBdr>
          <w:bottom w:val="single" w:sz="12" w:space="1" w:color="auto"/>
        </w:pBdr>
      </w:pPr>
    </w:p>
    <w:p w14:paraId="1ADA743C" w14:textId="56298625" w:rsidR="005C644F" w:rsidRDefault="005C644F" w:rsidP="00A81622">
      <w:pPr>
        <w:pStyle w:val="Titre1"/>
      </w:pPr>
      <w:bookmarkStart w:id="7" w:name="_Ref115452853"/>
      <w:bookmarkStart w:id="8" w:name="_Ref115467734"/>
      <w:r>
        <w:t>Performance evaluation</w:t>
      </w:r>
      <w:bookmarkEnd w:id="7"/>
      <w:r w:rsidR="005C2135">
        <w:t xml:space="preserve"> of static vs dynamic methods</w:t>
      </w:r>
      <w:bookmarkEnd w:id="8"/>
    </w:p>
    <w:p w14:paraId="120C2D22" w14:textId="65A9791D" w:rsidR="005C2135" w:rsidRDefault="00B30E02" w:rsidP="005C2135">
      <w:r>
        <w:t xml:space="preserve">We investigated </w:t>
      </w:r>
      <w:r w:rsidR="00B052EA">
        <w:t>the performance of static and dynamic schemes under three different setups. In all setups we used 75 dual RAT UEs (75 active NR modules + 75 active LTE modules) coexisting with 74 LTE-only legacy UEs. Common simulation parameters are given in the annex.</w:t>
      </w:r>
      <w:r w:rsidR="00FF581A">
        <w:t xml:space="preserve"> LTE and NR performance are depicted separately for a given setup</w:t>
      </w:r>
    </w:p>
    <w:p w14:paraId="73BA0285" w14:textId="1B682C93" w:rsidR="005C2135" w:rsidRDefault="00FF581A" w:rsidP="005C2135">
      <w:r>
        <w:t xml:space="preserve">In Setup 1, both RATs use the traffic packet model </w:t>
      </w:r>
      <w:r w:rsidR="005B0A0B">
        <w:t xml:space="preserve">1 </w:t>
      </w:r>
      <w:r>
        <w:t xml:space="preserve">(see simulation assumptions table in the Annex). The two RATs </w:t>
      </w:r>
      <w:r w:rsidR="00540981">
        <w:t>have a similar channel occupancy</w:t>
      </w:r>
      <w:r>
        <w:t xml:space="preserve">. The channel model is an idealized LOS model </w:t>
      </w:r>
      <w:r w:rsidR="005B0A0B">
        <w:t>(no shadowing), for illustration purposes</w:t>
      </w:r>
    </w:p>
    <w:p w14:paraId="30862764" w14:textId="15451C61" w:rsidR="005B0A0B" w:rsidRDefault="005B0A0B" w:rsidP="005B0A0B">
      <w:r>
        <w:t xml:space="preserve">In Setup </w:t>
      </w:r>
      <w:r>
        <w:t>2</w:t>
      </w:r>
      <w:r>
        <w:t xml:space="preserve">, </w:t>
      </w:r>
      <w:r>
        <w:t>LTE modules use</w:t>
      </w:r>
      <w:r>
        <w:t xml:space="preserve"> the traffic packet model </w:t>
      </w:r>
      <w:r>
        <w:t xml:space="preserve">3 and the NR modules use the traffic packet model </w:t>
      </w:r>
      <w:r w:rsidR="00A75D20">
        <w:t xml:space="preserve">2 </w:t>
      </w:r>
      <w:r>
        <w:t xml:space="preserve">(see simulation assumptions table in the Annex). </w:t>
      </w:r>
      <w:r w:rsidR="00540981">
        <w:t>The two RATs have a similar channel occupancy.</w:t>
      </w:r>
      <w:r w:rsidR="00540981">
        <w:t xml:space="preserve"> </w:t>
      </w:r>
      <w:r>
        <w:t>The channel model is an idealized LOS model (no shadowing), for illustration purposes</w:t>
      </w:r>
      <w:r w:rsidR="00540981">
        <w:t>.</w:t>
      </w:r>
    </w:p>
    <w:p w14:paraId="175E75E7" w14:textId="6D3FB751" w:rsidR="00540981" w:rsidRDefault="00540981" w:rsidP="00540981">
      <w:r>
        <w:t xml:space="preserve">In Setup </w:t>
      </w:r>
      <w:r>
        <w:t>3</w:t>
      </w:r>
      <w:r>
        <w:t xml:space="preserve">, LTE modules use the traffic packet model 3 and the NR modules use the traffic packet model 2 (see simulation assumptions table in the Annex). The two RATs have a similar channel occupancy. The channel model is </w:t>
      </w:r>
      <w:r>
        <w:t xml:space="preserve">the </w:t>
      </w:r>
      <w:proofErr w:type="spellStart"/>
      <w:r>
        <w:t>NLOSv</w:t>
      </w:r>
      <w:proofErr w:type="spellEnd"/>
      <w:r>
        <w:t xml:space="preserve"> from </w:t>
      </w:r>
      <w:r>
        <w:t>TR 37.885</w:t>
      </w:r>
      <w:r>
        <w:t>.</w:t>
      </w:r>
    </w:p>
    <w:p w14:paraId="212FDC68" w14:textId="33112125" w:rsidR="005B0A0B" w:rsidRDefault="0079626C" w:rsidP="005C2135">
      <w:r>
        <w:t>Purple curves correspond to a static TDD scenario with resource pool separation having X% of the slots reserved for LTE and the remaining amount reserved for NR.</w:t>
      </w:r>
    </w:p>
    <w:p w14:paraId="52C6BAFE" w14:textId="06BDC1FE" w:rsidR="0079626C" w:rsidRDefault="0079626C" w:rsidP="005C2135">
      <w:r>
        <w:t xml:space="preserve">Yellow curves correspond to a dynamic sharing scenario where the integrality of the resource pools </w:t>
      </w:r>
      <w:proofErr w:type="gramStart"/>
      <w:r>
        <w:t>are</w:t>
      </w:r>
      <w:proofErr w:type="gramEnd"/>
      <w:r>
        <w:t xml:space="preserve"> shared between LTE and NR</w:t>
      </w:r>
    </w:p>
    <w:p w14:paraId="38C7D86F" w14:textId="5D8FFFA5" w:rsidR="0079626C" w:rsidRDefault="0079626C" w:rsidP="00283DEC">
      <w:pPr>
        <w:pStyle w:val="Paragraphedeliste"/>
        <w:numPr>
          <w:ilvl w:val="0"/>
          <w:numId w:val="8"/>
        </w:numPr>
        <w:ind w:leftChars="0"/>
      </w:pPr>
      <w:r>
        <w:t>Round markers correspond to a case where coexisting devices are ideal type A devices (NR modules have full seamless access to the LTE sensing results, no latency for the transfer of the sensing info from the LTE to the NR modules)</w:t>
      </w:r>
    </w:p>
    <w:p w14:paraId="1601B688" w14:textId="3090E76C" w:rsidR="0079626C" w:rsidRDefault="0079626C" w:rsidP="00283DEC">
      <w:pPr>
        <w:pStyle w:val="Paragraphedeliste"/>
        <w:numPr>
          <w:ilvl w:val="0"/>
          <w:numId w:val="8"/>
        </w:numPr>
        <w:ind w:leftChars="0"/>
      </w:pPr>
      <w:r>
        <w:t xml:space="preserve">Starred markers correspond to a case where coexisting devices are </w:t>
      </w:r>
      <w:r w:rsidR="00DC6528">
        <w:t xml:space="preserve">dual mode devices where the NR module, in Rel.16 coexistence mode with the LTE module, does not have access to the sensing results of the LTE module, but performs RRSI </w:t>
      </w:r>
      <w:r w:rsidR="00351A75">
        <w:t>to detect interfered/occupied resources</w:t>
      </w:r>
      <w:r w:rsidR="00DC6528">
        <w:t xml:space="preserve">. We labelled this as type B </w:t>
      </w:r>
      <w:r w:rsidR="004F7473">
        <w:t>on the figures, although it is unclear in the current state of the agreements whether this should qualify as type A or not.</w:t>
      </w:r>
    </w:p>
    <w:p w14:paraId="60483008" w14:textId="0D202193" w:rsidR="00B30E02" w:rsidRDefault="004F7473" w:rsidP="005C2135">
      <w:r>
        <w:t>Green curves correspond to a reference case where the same total amount of traffic was generated in the same total amount of resources by a single RAT (non-coexistence equivalent scenario).</w:t>
      </w:r>
    </w:p>
    <w:p w14:paraId="593598EF" w14:textId="77777777" w:rsidR="00611491" w:rsidRDefault="00350042" w:rsidP="005C2135">
      <w:r>
        <w:t>Results show th</w:t>
      </w:r>
      <w:r w:rsidR="00611491">
        <w:t>e following observations:</w:t>
      </w:r>
    </w:p>
    <w:p w14:paraId="5E21D7D6" w14:textId="3866564A" w:rsidR="00611491" w:rsidRDefault="00611491" w:rsidP="00611491">
      <w:pPr>
        <w:pStyle w:val="Lgende"/>
      </w:pPr>
      <w:bookmarkStart w:id="9" w:name="_Toc115477474"/>
      <w:r>
        <w:t xml:space="preserve">Observation </w:t>
      </w:r>
      <w:fldSimple w:instr=" SEQ Observation \* ARABIC ">
        <w:r>
          <w:rPr>
            <w:noProof/>
          </w:rPr>
          <w:t>2</w:t>
        </w:r>
      </w:fldSimple>
      <w:r>
        <w:t>:</w:t>
      </w:r>
      <w:r w:rsidR="00350042">
        <w:t xml:space="preserve"> static TDD has fair performance only when the traffic corresponds to the resource pool splitting. Performance severely degrades when the traffic evolves, which shows the incapacity of static partitioning to adapt to real evolving deployments.</w:t>
      </w:r>
      <w:bookmarkEnd w:id="9"/>
      <w:r w:rsidR="00350042">
        <w:t xml:space="preserve"> </w:t>
      </w:r>
    </w:p>
    <w:p w14:paraId="24B4C4FE" w14:textId="6092AF43" w:rsidR="00350042" w:rsidRDefault="00611491" w:rsidP="00611491">
      <w:pPr>
        <w:pStyle w:val="Lgende"/>
      </w:pPr>
      <w:bookmarkStart w:id="10" w:name="_Toc115477475"/>
      <w:r>
        <w:t xml:space="preserve">Observation </w:t>
      </w:r>
      <w:fldSimple w:instr=" SEQ Observation \* ARABIC ">
        <w:r>
          <w:rPr>
            <w:noProof/>
          </w:rPr>
          <w:t>3</w:t>
        </w:r>
      </w:fldSimple>
      <w:r>
        <w:t xml:space="preserve">: </w:t>
      </w:r>
      <w:r w:rsidR="00350042">
        <w:t xml:space="preserve">Dynamic solutions constantly achieve a fair tradeoff between the </w:t>
      </w:r>
      <w:r w:rsidR="00923437">
        <w:t xml:space="preserve">behavior of the </w:t>
      </w:r>
      <w:r w:rsidR="00350042">
        <w:t>two RATs</w:t>
      </w:r>
      <w:r>
        <w:t>.</w:t>
      </w:r>
      <w:bookmarkEnd w:id="10"/>
    </w:p>
    <w:p w14:paraId="153481C1" w14:textId="77777777" w:rsidR="00B30E02" w:rsidRDefault="00B30E02" w:rsidP="00B30E02">
      <w:r>
        <w:rPr>
          <w:noProof/>
          <w:lang w:val="en-GB" w:eastAsia="zh-CN"/>
        </w:rPr>
        <w:lastRenderedPageBreak/>
        <w:drawing>
          <wp:inline distT="0" distB="0" distL="0" distR="0" wp14:anchorId="2946D319" wp14:editId="1D1D36B5">
            <wp:extent cx="2880003" cy="2148492"/>
            <wp:effectExtent l="0" t="0" r="0" b="4158"/>
            <wp:docPr id="126" name="Picture 179"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880003" cy="2148492"/>
                    </a:xfrm>
                    <a:prstGeom prst="rect">
                      <a:avLst/>
                    </a:prstGeom>
                    <a:noFill/>
                    <a:ln>
                      <a:noFill/>
                      <a:prstDash/>
                    </a:ln>
                  </pic:spPr>
                </pic:pic>
              </a:graphicData>
            </a:graphic>
          </wp:inline>
        </w:drawing>
      </w:r>
      <w:r>
        <w:rPr>
          <w:noProof/>
          <w:lang w:val="en-GB" w:eastAsia="zh-CN"/>
        </w:rPr>
        <w:drawing>
          <wp:inline distT="0" distB="0" distL="0" distR="0" wp14:anchorId="04C88251" wp14:editId="1B3C189F">
            <wp:extent cx="2880003" cy="2148492"/>
            <wp:effectExtent l="0" t="0" r="0" b="4158"/>
            <wp:docPr id="127" name="Picture 180"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80003" cy="2148492"/>
                    </a:xfrm>
                    <a:prstGeom prst="rect">
                      <a:avLst/>
                    </a:prstGeom>
                    <a:noFill/>
                    <a:ln>
                      <a:noFill/>
                      <a:prstDash/>
                    </a:ln>
                  </pic:spPr>
                </pic:pic>
              </a:graphicData>
            </a:graphic>
          </wp:inline>
        </w:drawing>
      </w:r>
    </w:p>
    <w:p w14:paraId="1A628CC7" w14:textId="73C01212" w:rsidR="00B30E02" w:rsidRPr="004F7473" w:rsidRDefault="004F7473" w:rsidP="004F7473">
      <w:pPr>
        <w:pStyle w:val="Lgende"/>
      </w:pPr>
      <w:r w:rsidRPr="004F7473">
        <w:t xml:space="preserve">Figure </w:t>
      </w:r>
      <w:r>
        <w:fldChar w:fldCharType="begin"/>
      </w:r>
      <w:r w:rsidRPr="004F7473">
        <w:instrText xml:space="preserve"> SEQ Figure \* ARABIC </w:instrText>
      </w:r>
      <w:r>
        <w:fldChar w:fldCharType="separate"/>
      </w:r>
      <w:r w:rsidR="006D0128">
        <w:rPr>
          <w:noProof/>
        </w:rPr>
        <w:t>1</w:t>
      </w:r>
      <w:r>
        <w:fldChar w:fldCharType="end"/>
      </w:r>
      <w:r w:rsidRPr="004F7473">
        <w:t>: Setup 1</w:t>
      </w:r>
      <w:r>
        <w:t xml:space="preserve">: PRR performance, </w:t>
      </w:r>
      <w:r w:rsidRPr="004F7473">
        <w:t>LTE (left</w:t>
      </w:r>
      <w:r>
        <w:t>) and NR (right)</w:t>
      </w:r>
    </w:p>
    <w:p w14:paraId="51BF6298" w14:textId="77777777" w:rsidR="00B30E02" w:rsidRPr="004F7473" w:rsidRDefault="00B30E02" w:rsidP="00B30E02">
      <w:pPr>
        <w:rPr>
          <w:lang w:eastAsia="zh-CN"/>
        </w:rPr>
      </w:pPr>
    </w:p>
    <w:p w14:paraId="68F27EAD" w14:textId="6D1255E8" w:rsidR="00B30E02" w:rsidRDefault="00B30E02" w:rsidP="004F7473">
      <w:pPr>
        <w:widowControl w:val="0"/>
        <w:wordWrap w:val="0"/>
        <w:autoSpaceDE w:val="0"/>
        <w:autoSpaceDN w:val="0"/>
        <w:spacing w:before="120" w:after="360" w:line="264" w:lineRule="auto"/>
      </w:pPr>
      <w:r>
        <w:rPr>
          <w:noProof/>
          <w:lang w:val="en-GB"/>
        </w:rPr>
        <w:drawing>
          <wp:inline distT="0" distB="0" distL="0" distR="0" wp14:anchorId="6B895244" wp14:editId="0E25F7FD">
            <wp:extent cx="2880003" cy="2159995"/>
            <wp:effectExtent l="0" t="0" r="0" b="0"/>
            <wp:docPr id="128" name="Picture 183"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80003" cy="2159995"/>
                    </a:xfrm>
                    <a:prstGeom prst="rect">
                      <a:avLst/>
                    </a:prstGeom>
                    <a:noFill/>
                    <a:ln>
                      <a:noFill/>
                      <a:prstDash/>
                    </a:ln>
                  </pic:spPr>
                </pic:pic>
              </a:graphicData>
            </a:graphic>
          </wp:inline>
        </w:drawing>
      </w:r>
      <w:r>
        <w:rPr>
          <w:noProof/>
          <w:lang w:val="en-GB"/>
        </w:rPr>
        <w:drawing>
          <wp:inline distT="0" distB="0" distL="0" distR="0" wp14:anchorId="61A74CFF" wp14:editId="6A41B34B">
            <wp:extent cx="2880003" cy="2159995"/>
            <wp:effectExtent l="0" t="0" r="0" b="0"/>
            <wp:docPr id="129" name="Picture 184" descr="Char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80003" cy="2159995"/>
                    </a:xfrm>
                    <a:prstGeom prst="rect">
                      <a:avLst/>
                    </a:prstGeom>
                    <a:noFill/>
                    <a:ln>
                      <a:noFill/>
                      <a:prstDash/>
                    </a:ln>
                  </pic:spPr>
                </pic:pic>
              </a:graphicData>
            </a:graphic>
          </wp:inline>
        </w:drawing>
      </w:r>
    </w:p>
    <w:p w14:paraId="737684D0" w14:textId="625646C9" w:rsidR="004F7473" w:rsidRDefault="004F7473" w:rsidP="004F7473">
      <w:pPr>
        <w:pStyle w:val="Lgende"/>
      </w:pPr>
      <w:r>
        <w:t xml:space="preserve">Figure </w:t>
      </w:r>
      <w:fldSimple w:instr=" SEQ Figure \* ARABIC ">
        <w:r w:rsidR="006D0128">
          <w:rPr>
            <w:noProof/>
          </w:rPr>
          <w:t>2</w:t>
        </w:r>
      </w:fldSimple>
      <w:r>
        <w:t xml:space="preserve">: </w:t>
      </w:r>
      <w:r w:rsidRPr="004F7473">
        <w:t xml:space="preserve">Setup </w:t>
      </w:r>
      <w:r>
        <w:t>2</w:t>
      </w:r>
      <w:r>
        <w:t xml:space="preserve">: PRR performance, </w:t>
      </w:r>
      <w:r w:rsidRPr="004F7473">
        <w:t>LTE (left</w:t>
      </w:r>
      <w:r>
        <w:t>) and NR (right)</w:t>
      </w:r>
    </w:p>
    <w:p w14:paraId="46FB6BB8" w14:textId="77777777" w:rsidR="00B30E02" w:rsidRDefault="00B30E02" w:rsidP="00B30E02">
      <w:r>
        <w:rPr>
          <w:noProof/>
          <w:lang w:val="en-GB" w:eastAsia="zh-CN"/>
        </w:rPr>
        <w:drawing>
          <wp:inline distT="0" distB="0" distL="0" distR="0" wp14:anchorId="75882A38" wp14:editId="03C8AEB8">
            <wp:extent cx="2880003" cy="2159995"/>
            <wp:effectExtent l="0" t="0" r="0" b="0"/>
            <wp:docPr id="130" name="Picture 185"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80003" cy="2159995"/>
                    </a:xfrm>
                    <a:prstGeom prst="rect">
                      <a:avLst/>
                    </a:prstGeom>
                    <a:noFill/>
                    <a:ln>
                      <a:noFill/>
                      <a:prstDash/>
                    </a:ln>
                  </pic:spPr>
                </pic:pic>
              </a:graphicData>
            </a:graphic>
          </wp:inline>
        </w:drawing>
      </w:r>
      <w:r>
        <w:rPr>
          <w:noProof/>
          <w:lang w:val="en-GB" w:eastAsia="zh-CN"/>
        </w:rPr>
        <w:drawing>
          <wp:inline distT="0" distB="0" distL="0" distR="0" wp14:anchorId="44E36C6F" wp14:editId="63C3C2E0">
            <wp:extent cx="2880003" cy="2159995"/>
            <wp:effectExtent l="0" t="0" r="0" b="0"/>
            <wp:docPr id="131" name="Picture 186"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80003" cy="2159995"/>
                    </a:xfrm>
                    <a:prstGeom prst="rect">
                      <a:avLst/>
                    </a:prstGeom>
                    <a:noFill/>
                    <a:ln>
                      <a:noFill/>
                      <a:prstDash/>
                    </a:ln>
                  </pic:spPr>
                </pic:pic>
              </a:graphicData>
            </a:graphic>
          </wp:inline>
        </w:drawing>
      </w:r>
    </w:p>
    <w:p w14:paraId="36605919" w14:textId="544338AE" w:rsidR="00B30E02" w:rsidRDefault="004F7473" w:rsidP="004F7473">
      <w:pPr>
        <w:pStyle w:val="Lgende"/>
        <w:rPr>
          <w:lang w:val="en-GB" w:eastAsia="zh-CN"/>
        </w:rPr>
      </w:pPr>
      <w:r>
        <w:t xml:space="preserve">Figure </w:t>
      </w:r>
      <w:fldSimple w:instr=" SEQ Figure \* ARABIC ">
        <w:r w:rsidR="006D0128">
          <w:rPr>
            <w:noProof/>
          </w:rPr>
          <w:t>3</w:t>
        </w:r>
      </w:fldSimple>
      <w:r>
        <w:t xml:space="preserve">: </w:t>
      </w:r>
      <w:r w:rsidRPr="004F7473">
        <w:t xml:space="preserve">Setup </w:t>
      </w:r>
      <w:r>
        <w:t>3</w:t>
      </w:r>
      <w:r>
        <w:t xml:space="preserve">: PRR performance, </w:t>
      </w:r>
      <w:r w:rsidRPr="004F7473">
        <w:t>LTE (left</w:t>
      </w:r>
      <w:r>
        <w:t>) and NR (right)</w:t>
      </w:r>
    </w:p>
    <w:p w14:paraId="3968BA37" w14:textId="77777777" w:rsidR="00B30E02" w:rsidRDefault="00B30E02" w:rsidP="005C2135"/>
    <w:p w14:paraId="08A3000C" w14:textId="70459364" w:rsidR="005C2135" w:rsidRDefault="005C2135" w:rsidP="005C2135"/>
    <w:p w14:paraId="383444A9" w14:textId="483ADF6F" w:rsidR="005C2135" w:rsidRDefault="005C2135" w:rsidP="005C2135"/>
    <w:p w14:paraId="159A8F93" w14:textId="027843CD" w:rsidR="005C2135" w:rsidRPr="005C2135" w:rsidRDefault="005C2135" w:rsidP="005C2135"/>
    <w:p w14:paraId="45D72820" w14:textId="77777777" w:rsidR="005C644F" w:rsidRPr="005C644F" w:rsidRDefault="005C644F" w:rsidP="005C644F"/>
    <w:p w14:paraId="18335FC7" w14:textId="77777777" w:rsidR="00A34067" w:rsidRPr="005A5D80" w:rsidRDefault="00A34067" w:rsidP="00A34067">
      <w:pPr>
        <w:pBdr>
          <w:bottom w:val="single" w:sz="12" w:space="1" w:color="auto"/>
        </w:pBdr>
      </w:pPr>
    </w:p>
    <w:p w14:paraId="05EE06E6" w14:textId="6A5B0902" w:rsidR="00A34067" w:rsidRDefault="00A34067" w:rsidP="00A34067">
      <w:pPr>
        <w:pStyle w:val="Titre1"/>
      </w:pPr>
      <w:r>
        <w:t>Conclusions</w:t>
      </w:r>
    </w:p>
    <w:p w14:paraId="651B7708" w14:textId="78971037" w:rsidR="00874CBF" w:rsidRPr="00811AE8" w:rsidRDefault="00811AE8" w:rsidP="00BC238C">
      <w:pPr>
        <w:pStyle w:val="Tabledesillustrations"/>
      </w:pPr>
      <w:r w:rsidRPr="00811AE8">
        <w:t>The following proposals and observations stand:</w:t>
      </w:r>
    </w:p>
    <w:p w14:paraId="57BC49E5" w14:textId="718BEBC4" w:rsidR="006D0128" w:rsidRDefault="00811AE8">
      <w:pPr>
        <w:pStyle w:val="Tabledesillustrations"/>
        <w:rPr>
          <w:rFonts w:asciiTheme="minorHAnsi" w:eastAsiaTheme="minorEastAsia" w:hAnsiTheme="minorHAnsi" w:cstheme="minorBidi"/>
          <w:noProof/>
          <w:sz w:val="22"/>
          <w:szCs w:val="22"/>
          <w:lang w:val="fr-FR" w:eastAsia="fr-FR"/>
        </w:rPr>
      </w:pPr>
      <w:r w:rsidRPr="00453C85">
        <w:rPr>
          <w:b/>
          <w:bCs/>
          <w:i/>
          <w:iCs/>
        </w:rPr>
        <w:fldChar w:fldCharType="begin"/>
      </w:r>
      <w:r w:rsidRPr="00453C85">
        <w:rPr>
          <w:b/>
          <w:bCs/>
          <w:i/>
          <w:iCs/>
        </w:rPr>
        <w:instrText xml:space="preserve"> TOC \n \p " " \h \z \c "Proposal" </w:instrText>
      </w:r>
      <w:r w:rsidRPr="00453C85">
        <w:rPr>
          <w:b/>
          <w:bCs/>
          <w:i/>
          <w:iCs/>
        </w:rPr>
        <w:fldChar w:fldCharType="separate"/>
      </w:r>
      <w:hyperlink w:anchor="_Toc115477013" w:history="1">
        <w:r w:rsidR="006D0128" w:rsidRPr="00611491">
          <w:rPr>
            <w:rStyle w:val="Lienhypertexte"/>
            <w:b/>
            <w:bCs/>
            <w:noProof/>
          </w:rPr>
          <w:t>Proposal 1:</w:t>
        </w:r>
        <w:r w:rsidR="006D0128" w:rsidRPr="004B587F">
          <w:rPr>
            <w:rStyle w:val="Lienhypertexte"/>
            <w:noProof/>
          </w:rPr>
          <w:t xml:space="preserve"> Support co-channel coexistence with fully dynamic sharing and resource pool overlapping between LTE-V2X and NR-V2X.</w:t>
        </w:r>
      </w:hyperlink>
    </w:p>
    <w:p w14:paraId="6D6BCDB3" w14:textId="08241981" w:rsidR="006D0128" w:rsidRDefault="006D0128">
      <w:pPr>
        <w:pStyle w:val="Tabledesillustrations"/>
        <w:rPr>
          <w:rFonts w:asciiTheme="minorHAnsi" w:eastAsiaTheme="minorEastAsia" w:hAnsiTheme="minorHAnsi" w:cstheme="minorBidi"/>
          <w:noProof/>
          <w:sz w:val="22"/>
          <w:szCs w:val="22"/>
          <w:lang w:val="fr-FR" w:eastAsia="fr-FR"/>
        </w:rPr>
      </w:pPr>
      <w:hyperlink w:anchor="_Toc115477014" w:history="1">
        <w:r w:rsidRPr="00611491">
          <w:rPr>
            <w:rStyle w:val="Lienhypertexte"/>
            <w:b/>
            <w:bCs/>
            <w:noProof/>
          </w:rPr>
          <w:t>Proposal</w:t>
        </w:r>
        <w:r w:rsidRPr="004B587F">
          <w:rPr>
            <w:rStyle w:val="Lienhypertexte"/>
            <w:noProof/>
          </w:rPr>
          <w:t xml:space="preserve"> </w:t>
        </w:r>
        <w:r w:rsidRPr="00611491">
          <w:rPr>
            <w:rStyle w:val="Lienhypertexte"/>
            <w:b/>
            <w:bCs/>
            <w:noProof/>
          </w:rPr>
          <w:t>2</w:t>
        </w:r>
        <w:r w:rsidRPr="004B587F">
          <w:rPr>
            <w:rStyle w:val="Lienhypertexte"/>
            <w:noProof/>
          </w:rPr>
          <w:t xml:space="preserve">: </w:t>
        </w:r>
        <w:r w:rsidRPr="004B587F">
          <w:rPr>
            <w:rStyle w:val="Lienhypertexte"/>
            <w:rFonts w:eastAsia="MS Mincho"/>
            <w:noProof/>
          </w:rPr>
          <w:t xml:space="preserve">Co-channel coexistence between LTE SL and NR SL is supported for NR devices </w:t>
        </w:r>
        <w:r w:rsidRPr="004B587F">
          <w:rPr>
            <w:rStyle w:val="Lienhypertexte"/>
            <w:bCs/>
            <w:noProof/>
            <w:lang w:eastAsia="ko-KR"/>
          </w:rPr>
          <w:t>aware of resources being occupied by LTE SL.</w:t>
        </w:r>
        <w:r w:rsidRPr="004B587F">
          <w:rPr>
            <w:rStyle w:val="Lienhypertexte"/>
            <w:bCs/>
            <w:i/>
            <w:iCs/>
            <w:noProof/>
            <w:lang w:eastAsia="ko-KR"/>
          </w:rPr>
          <w:t xml:space="preserve"> </w:t>
        </w:r>
        <w:r w:rsidRPr="004B587F">
          <w:rPr>
            <w:rStyle w:val="Lienhypertexte"/>
            <w:bCs/>
            <w:noProof/>
            <w:lang w:eastAsia="ko-KR"/>
          </w:rPr>
          <w:t>This includes dual module devices where the NR module uses the sensing and resource reservation information shared by the LTE module. FFS other method(s) for the NR module to be aware of resources being occupied by LTE SL.</w:t>
        </w:r>
      </w:hyperlink>
    </w:p>
    <w:p w14:paraId="5BBF415D" w14:textId="66F61894" w:rsidR="006D0128" w:rsidRDefault="006D0128">
      <w:pPr>
        <w:pStyle w:val="Tabledesillustrations"/>
        <w:rPr>
          <w:rFonts w:asciiTheme="minorHAnsi" w:eastAsiaTheme="minorEastAsia" w:hAnsiTheme="minorHAnsi" w:cstheme="minorBidi"/>
          <w:noProof/>
          <w:sz w:val="22"/>
          <w:szCs w:val="22"/>
          <w:lang w:val="fr-FR" w:eastAsia="fr-FR"/>
        </w:rPr>
      </w:pPr>
      <w:hyperlink w:anchor="_Toc115477015" w:history="1">
        <w:r w:rsidRPr="00611491">
          <w:rPr>
            <w:rStyle w:val="Lienhypertexte"/>
            <w:b/>
            <w:bCs/>
            <w:noProof/>
          </w:rPr>
          <w:t>Proposal</w:t>
        </w:r>
        <w:r w:rsidRPr="004B587F">
          <w:rPr>
            <w:rStyle w:val="Lienhypertexte"/>
            <w:noProof/>
          </w:rPr>
          <w:t xml:space="preserve"> </w:t>
        </w:r>
        <w:r w:rsidRPr="00611491">
          <w:rPr>
            <w:rStyle w:val="Lienhypertexte"/>
            <w:b/>
            <w:bCs/>
            <w:noProof/>
          </w:rPr>
          <w:t>3</w:t>
        </w:r>
        <w:r w:rsidRPr="004B587F">
          <w:rPr>
            <w:rStyle w:val="Lienhypertexte"/>
            <w:noProof/>
          </w:rPr>
          <w:t xml:space="preserve">: </w:t>
        </w:r>
        <w:r w:rsidRPr="004B587F">
          <w:rPr>
            <w:rStyle w:val="Lienhypertexte"/>
            <w:noProof/>
            <w:lang w:eastAsia="x-none"/>
          </w:rPr>
          <w:t>For the study of co-channel coexistence solutions in Rel-18, combination of operational modes B and C are also considered</w:t>
        </w:r>
        <w:r w:rsidRPr="004B587F">
          <w:rPr>
            <w:rStyle w:val="Lienhypertexte"/>
            <w:i/>
            <w:iCs/>
            <w:noProof/>
            <w:lang w:eastAsia="x-none"/>
          </w:rPr>
          <w:t>.</w:t>
        </w:r>
      </w:hyperlink>
    </w:p>
    <w:p w14:paraId="533B7802" w14:textId="367CFD58" w:rsidR="006D0128" w:rsidRDefault="006D0128">
      <w:pPr>
        <w:pStyle w:val="Tabledesillustrations"/>
        <w:tabs>
          <w:tab w:val="left" w:pos="9686"/>
        </w:tabs>
        <w:rPr>
          <w:rFonts w:asciiTheme="minorHAnsi" w:eastAsiaTheme="minorEastAsia" w:hAnsiTheme="minorHAnsi" w:cstheme="minorBidi"/>
          <w:noProof/>
          <w:sz w:val="22"/>
          <w:szCs w:val="22"/>
          <w:lang w:val="fr-FR" w:eastAsia="fr-FR"/>
        </w:rPr>
      </w:pPr>
      <w:hyperlink w:anchor="_Toc115477016" w:history="1">
        <w:r w:rsidRPr="00611491">
          <w:rPr>
            <w:rStyle w:val="Lienhypertexte"/>
            <w:b/>
            <w:bCs/>
            <w:noProof/>
          </w:rPr>
          <w:t>Proposal</w:t>
        </w:r>
        <w:r w:rsidRPr="004B587F">
          <w:rPr>
            <w:rStyle w:val="Lienhypertexte"/>
            <w:noProof/>
          </w:rPr>
          <w:t xml:space="preserve"> </w:t>
        </w:r>
        <w:r w:rsidRPr="00611491">
          <w:rPr>
            <w:rStyle w:val="Lienhypertexte"/>
            <w:b/>
            <w:bCs/>
            <w:noProof/>
          </w:rPr>
          <w:t>4</w:t>
        </w:r>
        <w:r w:rsidRPr="004B587F">
          <w:rPr>
            <w:rStyle w:val="Lienhypertexte"/>
            <w:noProof/>
          </w:rPr>
          <w:t xml:space="preserve">: For co-channel coexistence on overlapped resource pools, study the feasibility and benefits of at least the following solutions: </w:t>
        </w:r>
        <w:r>
          <w:rPr>
            <w:rFonts w:asciiTheme="minorHAnsi" w:eastAsiaTheme="minorEastAsia" w:hAnsiTheme="minorHAnsi" w:cstheme="minorBidi"/>
            <w:noProof/>
            <w:sz w:val="22"/>
            <w:szCs w:val="22"/>
            <w:lang w:val="fr-FR" w:eastAsia="fr-FR"/>
          </w:rPr>
          <w:tab/>
        </w:r>
        <w:r w:rsidRPr="004B587F">
          <w:rPr>
            <w:rStyle w:val="Lienhypertexte"/>
            <w:noProof/>
          </w:rPr>
          <w:t xml:space="preserve">  </w:t>
        </w:r>
        <w:r>
          <w:rPr>
            <w:rStyle w:val="Lienhypertexte"/>
            <w:noProof/>
          </w:rPr>
          <w:br/>
        </w:r>
        <w:r w:rsidRPr="004B587F">
          <w:rPr>
            <w:rStyle w:val="Lienhypertexte"/>
            <w:noProof/>
          </w:rPr>
          <w:t xml:space="preserve">- Resource allocation modifications to NR Rel.17 procedure in order to take into account the LTE reservation in overlapping resources </w:t>
        </w:r>
        <w:r w:rsidRPr="004B587F">
          <w:rPr>
            <w:rStyle w:val="Lienhypertexte"/>
            <w:noProof/>
          </w:rPr>
          <w:t xml:space="preserve">  </w:t>
        </w:r>
        <w:r>
          <w:rPr>
            <w:rStyle w:val="Lienhypertexte"/>
            <w:noProof/>
          </w:rPr>
          <w:tab/>
        </w:r>
        <w:r>
          <w:rPr>
            <w:rStyle w:val="Lienhypertexte"/>
            <w:noProof/>
          </w:rPr>
          <w:br/>
        </w:r>
        <w:r w:rsidRPr="004B587F">
          <w:rPr>
            <w:rStyle w:val="Lienhypertexte"/>
            <w:noProof/>
          </w:rPr>
          <w:t xml:space="preserve">- Solutions for enabling NR with PSFCH enabled to coexist with LTE  </w:t>
        </w:r>
        <w:r>
          <w:rPr>
            <w:rStyle w:val="Lienhypertexte"/>
            <w:noProof/>
          </w:rPr>
          <w:tab/>
        </w:r>
        <w:r w:rsidRPr="004B587F">
          <w:rPr>
            <w:rStyle w:val="Lienhypertexte"/>
            <w:noProof/>
          </w:rPr>
          <w:t xml:space="preserve"> </w:t>
        </w:r>
        <w:r>
          <w:rPr>
            <w:rStyle w:val="Lienhypertexte"/>
            <w:noProof/>
          </w:rPr>
          <w:br/>
        </w:r>
        <w:r w:rsidRPr="004B587F">
          <w:rPr>
            <w:rStyle w:val="Lienhypertexte"/>
            <w:noProof/>
          </w:rPr>
          <w:t>- Solutions for coexistence and cross-RAT interpretation of sidelink synchronization signals</w:t>
        </w:r>
      </w:hyperlink>
    </w:p>
    <w:p w14:paraId="6E7B2B35" w14:textId="2B77BBCB" w:rsidR="00874CBF" w:rsidRPr="00453C85" w:rsidRDefault="00811AE8">
      <w:pPr>
        <w:spacing w:after="0"/>
        <w:jc w:val="left"/>
        <w:rPr>
          <w:b/>
          <w:bCs/>
          <w:i/>
          <w:iCs/>
        </w:rPr>
      </w:pPr>
      <w:r w:rsidRPr="00453C85">
        <w:rPr>
          <w:b/>
          <w:bCs/>
          <w:i/>
          <w:iCs/>
        </w:rPr>
        <w:fldChar w:fldCharType="end"/>
      </w:r>
    </w:p>
    <w:p w14:paraId="18EFAF69" w14:textId="365AA593" w:rsidR="00611491" w:rsidRDefault="009F1DF0">
      <w:pPr>
        <w:pStyle w:val="Tabledesillustrations"/>
        <w:rPr>
          <w:rFonts w:asciiTheme="minorHAnsi" w:eastAsiaTheme="minorEastAsia" w:hAnsiTheme="minorHAnsi" w:cstheme="minorBidi"/>
          <w:noProof/>
          <w:sz w:val="22"/>
          <w:szCs w:val="22"/>
          <w:lang w:val="fr-FR" w:eastAsia="fr-FR"/>
        </w:rPr>
      </w:pPr>
      <w:r w:rsidRPr="00453C85">
        <w:rPr>
          <w:b/>
          <w:bCs/>
          <w:i/>
          <w:iCs/>
        </w:rPr>
        <w:fldChar w:fldCharType="begin"/>
      </w:r>
      <w:r w:rsidRPr="00453C85">
        <w:rPr>
          <w:b/>
          <w:bCs/>
          <w:i/>
          <w:iCs/>
        </w:rPr>
        <w:instrText xml:space="preserve"> TOC \n \p " " \h \z \c "Observation" </w:instrText>
      </w:r>
      <w:r w:rsidRPr="00453C85">
        <w:rPr>
          <w:b/>
          <w:bCs/>
          <w:i/>
          <w:iCs/>
        </w:rPr>
        <w:fldChar w:fldCharType="separate"/>
      </w:r>
      <w:hyperlink w:anchor="_Toc115477473" w:history="1">
        <w:r w:rsidR="00611491" w:rsidRPr="00611491">
          <w:rPr>
            <w:rStyle w:val="Lienhypertexte"/>
            <w:b/>
            <w:bCs/>
            <w:noProof/>
          </w:rPr>
          <w:t>Observation</w:t>
        </w:r>
        <w:r w:rsidR="00611491" w:rsidRPr="00937A73">
          <w:rPr>
            <w:rStyle w:val="Lienhypertexte"/>
            <w:noProof/>
          </w:rPr>
          <w:t xml:space="preserve"> 1: In ITS spectrum, static TDM solutions are unable to adapt to the traffic changes between the two RATs and cannot respond to the need for a </w:t>
        </w:r>
        <w:r w:rsidR="00611491" w:rsidRPr="00937A73">
          <w:rPr>
            <w:rStyle w:val="Lienhypertexte"/>
            <w:rFonts w:ascii="Times" w:hAnsi="Times" w:cs="Times"/>
            <w:iCs/>
            <w:noProof/>
          </w:rPr>
          <w:t>flexible technology transition path from LTE to NR</w:t>
        </w:r>
        <w:r w:rsidR="00611491" w:rsidRPr="00937A73">
          <w:rPr>
            <w:rStyle w:val="Lienhypertexte"/>
            <w:noProof/>
          </w:rPr>
          <w:t>.</w:t>
        </w:r>
      </w:hyperlink>
    </w:p>
    <w:p w14:paraId="3E29192D" w14:textId="57F66843" w:rsidR="00611491" w:rsidRDefault="00611491">
      <w:pPr>
        <w:pStyle w:val="Tabledesillustrations"/>
        <w:rPr>
          <w:rFonts w:asciiTheme="minorHAnsi" w:eastAsiaTheme="minorEastAsia" w:hAnsiTheme="minorHAnsi" w:cstheme="minorBidi"/>
          <w:noProof/>
          <w:sz w:val="22"/>
          <w:szCs w:val="22"/>
          <w:lang w:val="fr-FR" w:eastAsia="fr-FR"/>
        </w:rPr>
      </w:pPr>
      <w:hyperlink w:anchor="_Toc115477474" w:history="1">
        <w:r w:rsidRPr="00611491">
          <w:rPr>
            <w:rStyle w:val="Lienhypertexte"/>
            <w:b/>
            <w:bCs/>
            <w:noProof/>
          </w:rPr>
          <w:t>Observation</w:t>
        </w:r>
        <w:r w:rsidRPr="00937A73">
          <w:rPr>
            <w:rStyle w:val="Lienhypertexte"/>
            <w:noProof/>
          </w:rPr>
          <w:t xml:space="preserve"> 2: static TDD has fair performance only when the traffic corresponds to the resource pool splitting. Performance severely degrades when the traffic evolves, which shows the incapacity of static partitioning to adapt to real evolving deployments.</w:t>
        </w:r>
      </w:hyperlink>
    </w:p>
    <w:p w14:paraId="49B79882" w14:textId="6F8CC390" w:rsidR="00611491" w:rsidRDefault="00611491">
      <w:pPr>
        <w:pStyle w:val="Tabledesillustrations"/>
        <w:rPr>
          <w:rFonts w:asciiTheme="minorHAnsi" w:eastAsiaTheme="minorEastAsia" w:hAnsiTheme="minorHAnsi" w:cstheme="minorBidi"/>
          <w:noProof/>
          <w:sz w:val="22"/>
          <w:szCs w:val="22"/>
          <w:lang w:val="fr-FR" w:eastAsia="fr-FR"/>
        </w:rPr>
      </w:pPr>
      <w:hyperlink w:anchor="_Toc115477475" w:history="1">
        <w:r w:rsidRPr="00611491">
          <w:rPr>
            <w:rStyle w:val="Lienhypertexte"/>
            <w:b/>
            <w:bCs/>
            <w:noProof/>
          </w:rPr>
          <w:t>Observation</w:t>
        </w:r>
        <w:r w:rsidRPr="00937A73">
          <w:rPr>
            <w:rStyle w:val="Lienhypertexte"/>
            <w:noProof/>
          </w:rPr>
          <w:t xml:space="preserve"> 3: Dynamic solutions constantly achieve a fair tradeoff between the behavior of the two RATs.</w:t>
        </w:r>
      </w:hyperlink>
    </w:p>
    <w:p w14:paraId="1F56F633" w14:textId="23627FCE" w:rsidR="00453C85" w:rsidRDefault="009F1DF0">
      <w:pPr>
        <w:spacing w:after="0"/>
        <w:jc w:val="left"/>
        <w:rPr>
          <w:b/>
          <w:bCs/>
          <w:i/>
          <w:iCs/>
        </w:rPr>
      </w:pPr>
      <w:r w:rsidRPr="00453C85">
        <w:rPr>
          <w:b/>
          <w:bCs/>
          <w:i/>
          <w:iCs/>
        </w:rPr>
        <w:fldChar w:fldCharType="end"/>
      </w:r>
    </w:p>
    <w:p w14:paraId="7B190B9D" w14:textId="77777777" w:rsidR="00453C85" w:rsidRDefault="00453C85">
      <w:pPr>
        <w:spacing w:after="0"/>
        <w:jc w:val="left"/>
        <w:rPr>
          <w:b/>
          <w:bCs/>
          <w:i/>
          <w:iCs/>
        </w:rPr>
      </w:pPr>
      <w:r>
        <w:rPr>
          <w:b/>
          <w:bCs/>
          <w:i/>
          <w:iCs/>
        </w:rPr>
        <w:br w:type="page"/>
      </w:r>
    </w:p>
    <w:p w14:paraId="057A3988" w14:textId="77777777" w:rsidR="005C2135" w:rsidRPr="005F4E62" w:rsidRDefault="005C2135" w:rsidP="005C2135">
      <w:pPr>
        <w:pBdr>
          <w:bottom w:val="single" w:sz="12" w:space="1" w:color="auto"/>
        </w:pBdr>
      </w:pPr>
    </w:p>
    <w:p w14:paraId="3CFDD772" w14:textId="58E4D8E2" w:rsidR="005C2135" w:rsidRDefault="005C2135" w:rsidP="005C2135">
      <w:pPr>
        <w:pStyle w:val="Titre1"/>
      </w:pPr>
      <w:r>
        <w:t>Annex: Simulation parameters</w:t>
      </w:r>
    </w:p>
    <w:p w14:paraId="5E614B96" w14:textId="1E008FD2" w:rsidR="005C2135" w:rsidRDefault="005C2135" w:rsidP="005C2135">
      <w:r>
        <w:t xml:space="preserve">The following simulation parameters were used in section </w:t>
      </w:r>
      <w:r>
        <w:fldChar w:fldCharType="begin"/>
      </w:r>
      <w:r>
        <w:instrText xml:space="preserve"> REF _Ref115467734 \r \h </w:instrText>
      </w:r>
      <w:r>
        <w:fldChar w:fldCharType="separate"/>
      </w:r>
      <w:r w:rsidR="006D0128">
        <w:t>3</w:t>
      </w:r>
      <w:r>
        <w:fldChar w:fldCharType="end"/>
      </w:r>
    </w:p>
    <w:p w14:paraId="30CD2212" w14:textId="77777777" w:rsidR="005C2135" w:rsidRPr="005C2135" w:rsidRDefault="005C2135" w:rsidP="005C2135"/>
    <w:tbl>
      <w:tblPr>
        <w:tblStyle w:val="Grilledutableau"/>
        <w:tblW w:w="0" w:type="auto"/>
        <w:tblLook w:val="04A0" w:firstRow="1" w:lastRow="0" w:firstColumn="1" w:lastColumn="0" w:noHBand="0" w:noVBand="1"/>
      </w:tblPr>
      <w:tblGrid>
        <w:gridCol w:w="4106"/>
        <w:gridCol w:w="5856"/>
      </w:tblGrid>
      <w:tr w:rsidR="005C2135" w14:paraId="03FFE46C" w14:textId="77777777" w:rsidTr="005B0A0B">
        <w:tc>
          <w:tcPr>
            <w:tcW w:w="4106" w:type="dxa"/>
          </w:tcPr>
          <w:p w14:paraId="08DC3F5F" w14:textId="1A0C8773" w:rsidR="005C2135" w:rsidRDefault="005C2135" w:rsidP="002067A2">
            <w:r>
              <w:t>BW</w:t>
            </w:r>
          </w:p>
        </w:tc>
        <w:tc>
          <w:tcPr>
            <w:tcW w:w="5856" w:type="dxa"/>
          </w:tcPr>
          <w:p w14:paraId="0477D3AA" w14:textId="6AF6F719" w:rsidR="005C2135" w:rsidRDefault="005C2135" w:rsidP="002067A2">
            <w:r>
              <w:t>20MHz</w:t>
            </w:r>
          </w:p>
        </w:tc>
      </w:tr>
      <w:tr w:rsidR="005C2135" w14:paraId="4DD2EC92" w14:textId="77777777" w:rsidTr="005B0A0B">
        <w:tc>
          <w:tcPr>
            <w:tcW w:w="4106" w:type="dxa"/>
          </w:tcPr>
          <w:p w14:paraId="0AEAB78A" w14:textId="1B204ED4" w:rsidR="005C2135" w:rsidRDefault="005C2135" w:rsidP="002067A2">
            <w:r>
              <w:t>SCS</w:t>
            </w:r>
          </w:p>
        </w:tc>
        <w:tc>
          <w:tcPr>
            <w:tcW w:w="5856" w:type="dxa"/>
          </w:tcPr>
          <w:p w14:paraId="698FD45D" w14:textId="29D20443" w:rsidR="005C2135" w:rsidRDefault="005C2135" w:rsidP="002067A2">
            <w:r>
              <w:t>15kHz</w:t>
            </w:r>
          </w:p>
        </w:tc>
      </w:tr>
      <w:tr w:rsidR="005C2135" w14:paraId="58EDA377" w14:textId="77777777" w:rsidTr="005B0A0B">
        <w:tc>
          <w:tcPr>
            <w:tcW w:w="4106" w:type="dxa"/>
          </w:tcPr>
          <w:p w14:paraId="2FCA6F63" w14:textId="76C1344C" w:rsidR="005C2135" w:rsidRDefault="008339C3" w:rsidP="002067A2">
            <w:r>
              <w:t>Channel</w:t>
            </w:r>
          </w:p>
        </w:tc>
        <w:tc>
          <w:tcPr>
            <w:tcW w:w="5856" w:type="dxa"/>
          </w:tcPr>
          <w:p w14:paraId="2F42D915" w14:textId="620C111A" w:rsidR="005C2135" w:rsidRDefault="008339C3" w:rsidP="002067A2">
            <w:r>
              <w:t>Ideal LOS (no shadowing) with 6dBm transmit power</w:t>
            </w:r>
            <w:r w:rsidR="0024234E">
              <w:t>, or</w:t>
            </w:r>
          </w:p>
          <w:p w14:paraId="041FF459" w14:textId="3EEBCA6B" w:rsidR="008339C3" w:rsidRDefault="008339C3" w:rsidP="002067A2">
            <w:r>
              <w:t>LOS/</w:t>
            </w:r>
            <w:proofErr w:type="spellStart"/>
            <w:r>
              <w:t>NLOSv</w:t>
            </w:r>
            <w:proofErr w:type="spellEnd"/>
            <w:r>
              <w:t xml:space="preserve"> (from TR 37.885) with 23dBm transmit power</w:t>
            </w:r>
          </w:p>
        </w:tc>
      </w:tr>
      <w:tr w:rsidR="005C2135" w14:paraId="71151CA9" w14:textId="77777777" w:rsidTr="005B0A0B">
        <w:tc>
          <w:tcPr>
            <w:tcW w:w="4106" w:type="dxa"/>
          </w:tcPr>
          <w:p w14:paraId="2FA501B8" w14:textId="4768AF5A" w:rsidR="005C2135" w:rsidRDefault="008339C3" w:rsidP="002067A2">
            <w:r>
              <w:t>Antenna gain</w:t>
            </w:r>
          </w:p>
        </w:tc>
        <w:tc>
          <w:tcPr>
            <w:tcW w:w="5856" w:type="dxa"/>
          </w:tcPr>
          <w:p w14:paraId="683FC27D" w14:textId="5DC58A3C" w:rsidR="005C2135" w:rsidRDefault="008339C3" w:rsidP="002067A2">
            <w:r>
              <w:rPr>
                <w:lang w:val="en-GB"/>
              </w:rPr>
              <w:t>Gt=Gr=3dB</w:t>
            </w:r>
          </w:p>
        </w:tc>
      </w:tr>
      <w:tr w:rsidR="005C2135" w14:paraId="5F9F7C04" w14:textId="77777777" w:rsidTr="005B0A0B">
        <w:tc>
          <w:tcPr>
            <w:tcW w:w="4106" w:type="dxa"/>
          </w:tcPr>
          <w:p w14:paraId="51F964C6" w14:textId="206798A4" w:rsidR="005C2135" w:rsidRDefault="00803855" w:rsidP="002067A2">
            <w:r w:rsidRPr="00084995">
              <w:rPr>
                <w:lang w:eastAsia="zh-CN"/>
              </w:rPr>
              <w:t>UE drop and mobility modeling</w:t>
            </w:r>
          </w:p>
        </w:tc>
        <w:tc>
          <w:tcPr>
            <w:tcW w:w="5856" w:type="dxa"/>
          </w:tcPr>
          <w:p w14:paraId="464483DA" w14:textId="77777777" w:rsidR="005C2135" w:rsidRDefault="008339C3" w:rsidP="002067A2">
            <w:r>
              <w:t>Highway, 6 lanes with wraparound</w:t>
            </w:r>
          </w:p>
          <w:p w14:paraId="679BD0A0" w14:textId="4D832088" w:rsidR="008339C3" w:rsidRDefault="008339C3" w:rsidP="002067A2">
            <w:r>
              <w:rPr>
                <w:lang w:val="en-GB"/>
              </w:rPr>
              <w:t>Option A with 140 km/h and T=4</w:t>
            </w:r>
          </w:p>
        </w:tc>
      </w:tr>
      <w:tr w:rsidR="005C2135" w14:paraId="55A8B883" w14:textId="77777777" w:rsidTr="005B0A0B">
        <w:tc>
          <w:tcPr>
            <w:tcW w:w="4106" w:type="dxa"/>
          </w:tcPr>
          <w:p w14:paraId="046582E5" w14:textId="4C6A2CBA" w:rsidR="005C2135" w:rsidRDefault="008339C3" w:rsidP="002067A2">
            <w:r>
              <w:t>Traffic</w:t>
            </w:r>
            <w:r w:rsidR="00803855">
              <w:t xml:space="preserve"> model</w:t>
            </w:r>
          </w:p>
        </w:tc>
        <w:tc>
          <w:tcPr>
            <w:tcW w:w="5856" w:type="dxa"/>
          </w:tcPr>
          <w:p w14:paraId="23ACF966" w14:textId="4B500D44" w:rsidR="0024234E" w:rsidRDefault="008339C3" w:rsidP="002067A2">
            <w:r>
              <w:t>Periodic, RRI</w:t>
            </w:r>
            <w:proofErr w:type="gramStart"/>
            <w:r>
              <w:t>={</w:t>
            </w:r>
            <w:proofErr w:type="gramEnd"/>
            <w:r>
              <w:t>20, 50, 100}</w:t>
            </w:r>
            <w:proofErr w:type="spellStart"/>
            <w:r>
              <w:t>ms</w:t>
            </w:r>
            <w:proofErr w:type="spellEnd"/>
          </w:p>
          <w:p w14:paraId="29C08F3D" w14:textId="77777777" w:rsidR="0024234E" w:rsidRDefault="0024234E" w:rsidP="002067A2">
            <w:r>
              <w:t>P</w:t>
            </w:r>
            <w:r w:rsidR="00A644F8">
              <w:t>riority=1</w:t>
            </w:r>
          </w:p>
          <w:p w14:paraId="39F82A41" w14:textId="5B43ED7A" w:rsidR="008339C3" w:rsidRDefault="0024234E" w:rsidP="002067A2">
            <w:r>
              <w:t>L</w:t>
            </w:r>
            <w:r w:rsidR="00A644F8">
              <w:t>atency = RRI</w:t>
            </w:r>
          </w:p>
          <w:p w14:paraId="5A9F4C33" w14:textId="77777777" w:rsidR="005C2135" w:rsidRDefault="008339C3" w:rsidP="002067A2">
            <w:r>
              <w:t>2 blind retransmissions</w:t>
            </w:r>
          </w:p>
          <w:p w14:paraId="2090839A" w14:textId="77777777" w:rsidR="00803855" w:rsidRDefault="00803855" w:rsidP="002067A2">
            <w:pPr>
              <w:rPr>
                <w:lang w:val="en-GB"/>
              </w:rPr>
            </w:pPr>
            <w:r>
              <w:rPr>
                <w:lang w:val="en-GB"/>
              </w:rPr>
              <w:t>Probability of reselection = 0.2.</w:t>
            </w:r>
          </w:p>
          <w:p w14:paraId="247F595E" w14:textId="7DB373E3" w:rsidR="00A644F8" w:rsidRDefault="00A644F8" w:rsidP="002067A2">
            <w:r>
              <w:t xml:space="preserve">Packet size: </w:t>
            </w:r>
          </w:p>
          <w:p w14:paraId="0B70FCDF" w14:textId="39917203" w:rsidR="00A644F8" w:rsidRDefault="00A644F8" w:rsidP="00283DEC">
            <w:pPr>
              <w:pStyle w:val="Paragraphedeliste"/>
              <w:numPr>
                <w:ilvl w:val="0"/>
                <w:numId w:val="12"/>
              </w:numPr>
              <w:ind w:leftChars="0"/>
            </w:pPr>
            <w:r>
              <w:t>@RRI=100ms:1200/800bytes</w:t>
            </w:r>
            <w:r w:rsidR="00FF581A">
              <w:t xml:space="preserve"> </w:t>
            </w:r>
          </w:p>
          <w:p w14:paraId="2F22919A" w14:textId="1BCFAE81" w:rsidR="00A644F8" w:rsidRDefault="00A644F8" w:rsidP="00283DEC">
            <w:pPr>
              <w:pStyle w:val="Paragraphedeliste"/>
              <w:numPr>
                <w:ilvl w:val="0"/>
                <w:numId w:val="12"/>
              </w:numPr>
              <w:ind w:leftChars="0"/>
            </w:pPr>
            <w:r>
              <w:t>@RRI=50ms: 1200/800 bytes</w:t>
            </w:r>
            <w:r w:rsidR="00FF581A">
              <w:t xml:space="preserve"> </w:t>
            </w:r>
          </w:p>
          <w:p w14:paraId="455B2BB6" w14:textId="2DF90E4E" w:rsidR="00803855" w:rsidRDefault="00A644F8" w:rsidP="00283DEC">
            <w:pPr>
              <w:pStyle w:val="Paragraphedeliste"/>
              <w:numPr>
                <w:ilvl w:val="0"/>
                <w:numId w:val="12"/>
              </w:numPr>
              <w:ind w:leftChars="0"/>
            </w:pPr>
            <w:r>
              <w:t>@RRI=100ms: 300/190 bytes</w:t>
            </w:r>
          </w:p>
        </w:tc>
      </w:tr>
      <w:tr w:rsidR="00A644F8" w14:paraId="1D28C0C3" w14:textId="77777777" w:rsidTr="005B0A0B">
        <w:tc>
          <w:tcPr>
            <w:tcW w:w="4106" w:type="dxa"/>
          </w:tcPr>
          <w:p w14:paraId="25BF41C6" w14:textId="7564003F" w:rsidR="00A644F8" w:rsidRDefault="00A644F8" w:rsidP="002067A2">
            <w:r>
              <w:t>MCS</w:t>
            </w:r>
          </w:p>
        </w:tc>
        <w:tc>
          <w:tcPr>
            <w:tcW w:w="5856" w:type="dxa"/>
          </w:tcPr>
          <w:p w14:paraId="71D2C31A" w14:textId="3E7AD427" w:rsidR="00A75D20" w:rsidRDefault="00A75D20" w:rsidP="002067A2">
            <w:pPr>
              <w:rPr>
                <w:lang w:val="en-GB"/>
              </w:rPr>
            </w:pPr>
            <w:r>
              <w:rPr>
                <w:lang w:val="en-GB"/>
              </w:rPr>
              <w:t>1 TB/slot/subchannel:</w:t>
            </w:r>
          </w:p>
          <w:p w14:paraId="679673A1" w14:textId="6871D3AF" w:rsidR="00A644F8" w:rsidRPr="00A75D20" w:rsidRDefault="00A644F8" w:rsidP="00283DEC">
            <w:pPr>
              <w:pStyle w:val="Paragraphedeliste"/>
              <w:numPr>
                <w:ilvl w:val="0"/>
                <w:numId w:val="13"/>
              </w:numPr>
              <w:ind w:leftChars="0"/>
              <w:rPr>
                <w:lang w:val="en-GB"/>
              </w:rPr>
            </w:pPr>
            <w:r w:rsidRPr="00A75D20">
              <w:rPr>
                <w:lang w:val="en-GB"/>
              </w:rPr>
              <w:t>16QAM</w:t>
            </w:r>
            <w:r w:rsidR="003D711B" w:rsidRPr="00A75D20">
              <w:rPr>
                <w:lang w:val="en-GB"/>
              </w:rPr>
              <w:t xml:space="preserve"> </w:t>
            </w:r>
            <w:r w:rsidRPr="00A75D20">
              <w:rPr>
                <w:lang w:val="en-GB"/>
              </w:rPr>
              <w:t>5/6 with 1200 bytes</w:t>
            </w:r>
          </w:p>
          <w:p w14:paraId="44AF6E68" w14:textId="142EEDA6" w:rsidR="00A644F8" w:rsidRPr="00A75D20" w:rsidRDefault="00A644F8" w:rsidP="00283DEC">
            <w:pPr>
              <w:pStyle w:val="Paragraphedeliste"/>
              <w:numPr>
                <w:ilvl w:val="0"/>
                <w:numId w:val="13"/>
              </w:numPr>
              <w:ind w:leftChars="0"/>
              <w:rPr>
                <w:lang w:val="en-GB"/>
              </w:rPr>
            </w:pPr>
            <w:r w:rsidRPr="00A75D20">
              <w:rPr>
                <w:lang w:val="en-GB"/>
              </w:rPr>
              <w:t>16QAM</w:t>
            </w:r>
            <w:r w:rsidR="003D711B" w:rsidRPr="00A75D20">
              <w:rPr>
                <w:lang w:val="en-GB"/>
              </w:rPr>
              <w:t xml:space="preserve"> </w:t>
            </w:r>
            <w:r w:rsidRPr="00A75D20">
              <w:rPr>
                <w:lang w:val="en-GB"/>
              </w:rPr>
              <w:t>3/4 with 800 bytes</w:t>
            </w:r>
          </w:p>
          <w:p w14:paraId="212932B8" w14:textId="5316C6DE" w:rsidR="00A644F8" w:rsidRPr="00A75D20" w:rsidRDefault="00A644F8" w:rsidP="00283DEC">
            <w:pPr>
              <w:pStyle w:val="Paragraphedeliste"/>
              <w:numPr>
                <w:ilvl w:val="0"/>
                <w:numId w:val="13"/>
              </w:numPr>
              <w:ind w:leftChars="0"/>
              <w:rPr>
                <w:lang w:val="en-GB"/>
              </w:rPr>
            </w:pPr>
            <w:r w:rsidRPr="00A75D20">
              <w:rPr>
                <w:lang w:val="en-GB"/>
              </w:rPr>
              <w:t xml:space="preserve">QPSK </w:t>
            </w:r>
            <w:r w:rsidR="001E7049" w:rsidRPr="00A75D20">
              <w:rPr>
                <w:lang w:val="en-GB"/>
              </w:rPr>
              <w:t>1/2</w:t>
            </w:r>
            <w:r w:rsidRPr="00A75D20">
              <w:rPr>
                <w:lang w:val="en-GB"/>
              </w:rPr>
              <w:t xml:space="preserve"> for 300 bytes</w:t>
            </w:r>
          </w:p>
          <w:p w14:paraId="354B19C7" w14:textId="448B7CAF" w:rsidR="00A644F8" w:rsidRDefault="00A644F8" w:rsidP="00283DEC">
            <w:pPr>
              <w:pStyle w:val="Paragraphedeliste"/>
              <w:numPr>
                <w:ilvl w:val="0"/>
                <w:numId w:val="13"/>
              </w:numPr>
              <w:ind w:leftChars="0"/>
            </w:pPr>
            <w:r w:rsidRPr="00A75D20">
              <w:rPr>
                <w:lang w:val="en-GB"/>
              </w:rPr>
              <w:t>QPSK1/3 for 190 bytes.</w:t>
            </w:r>
          </w:p>
        </w:tc>
      </w:tr>
      <w:tr w:rsidR="005C2135" w14:paraId="1BF46CF3" w14:textId="77777777" w:rsidTr="005B0A0B">
        <w:tc>
          <w:tcPr>
            <w:tcW w:w="4106" w:type="dxa"/>
          </w:tcPr>
          <w:p w14:paraId="44BB59CC" w14:textId="69BC5C8A" w:rsidR="005C2135" w:rsidRDefault="00A644F8" w:rsidP="002067A2">
            <w:r>
              <w:rPr>
                <w:lang w:val="en-GB"/>
              </w:rPr>
              <w:t>RAT</w:t>
            </w:r>
            <w:r w:rsidR="003D711B">
              <w:rPr>
                <w:lang w:val="en-GB"/>
              </w:rPr>
              <w:t xml:space="preserve"> number and</w:t>
            </w:r>
            <w:r>
              <w:rPr>
                <w:lang w:val="en-GB"/>
              </w:rPr>
              <w:t xml:space="preserve"> density </w:t>
            </w:r>
          </w:p>
        </w:tc>
        <w:tc>
          <w:tcPr>
            <w:tcW w:w="5856" w:type="dxa"/>
          </w:tcPr>
          <w:p w14:paraId="6270C9A3" w14:textId="7C81281E" w:rsidR="005C2135" w:rsidRDefault="00A644F8" w:rsidP="002067A2">
            <w:r>
              <w:rPr>
                <w:lang w:val="en-GB"/>
              </w:rPr>
              <w:t>56 RATs per km (75 dual RAT devices with “active transmission” of NR and LTE</w:t>
            </w:r>
            <w:r>
              <w:rPr>
                <w:lang w:val="en-GB"/>
              </w:rPr>
              <w:t>,</w:t>
            </w:r>
            <w:r>
              <w:rPr>
                <w:lang w:val="en-GB"/>
              </w:rPr>
              <w:t xml:space="preserve"> and 74 mono-RAT LTE devices, </w:t>
            </w:r>
            <w:proofErr w:type="gramStart"/>
            <w:r>
              <w:rPr>
                <w:lang w:val="en-GB"/>
              </w:rPr>
              <w:t>i.e.</w:t>
            </w:r>
            <w:proofErr w:type="gramEnd"/>
            <w:r>
              <w:rPr>
                <w:lang w:val="en-GB"/>
              </w:rPr>
              <w:t xml:space="preserve"> 18.75 NR RAT/km and 37.25 LTE RAT/km)</w:t>
            </w:r>
          </w:p>
        </w:tc>
      </w:tr>
      <w:tr w:rsidR="005C2135" w14:paraId="3CC530E3" w14:textId="77777777" w:rsidTr="005B0A0B">
        <w:tc>
          <w:tcPr>
            <w:tcW w:w="4106" w:type="dxa"/>
          </w:tcPr>
          <w:p w14:paraId="0B046DFD" w14:textId="77777777" w:rsidR="005C2135" w:rsidRDefault="005C2135" w:rsidP="002067A2"/>
        </w:tc>
        <w:tc>
          <w:tcPr>
            <w:tcW w:w="5856" w:type="dxa"/>
          </w:tcPr>
          <w:p w14:paraId="43FC2FDE" w14:textId="77777777" w:rsidR="005C2135" w:rsidRDefault="005C2135" w:rsidP="002067A2"/>
        </w:tc>
      </w:tr>
    </w:tbl>
    <w:p w14:paraId="6C9FCF3A" w14:textId="1E34C57A" w:rsidR="00236591" w:rsidRDefault="00236591" w:rsidP="002067A2">
      <w:pPr>
        <w:pBdr>
          <w:bottom w:val="single" w:sz="12" w:space="1" w:color="auto"/>
        </w:pBdr>
      </w:pPr>
    </w:p>
    <w:p w14:paraId="69889C61" w14:textId="77777777" w:rsidR="00236591" w:rsidRDefault="00236591">
      <w:pPr>
        <w:spacing w:after="0"/>
        <w:jc w:val="left"/>
      </w:pPr>
      <w:r>
        <w:br w:type="page"/>
      </w:r>
    </w:p>
    <w:p w14:paraId="607CC3E5" w14:textId="77777777" w:rsidR="005C2135" w:rsidRPr="005F4E62" w:rsidRDefault="005C2135" w:rsidP="002067A2">
      <w:pPr>
        <w:pBdr>
          <w:bottom w:val="single" w:sz="12" w:space="1" w:color="auto"/>
        </w:pBdr>
      </w:pPr>
    </w:p>
    <w:p w14:paraId="17B7DE11" w14:textId="77777777" w:rsidR="002067A2" w:rsidRPr="00F72CA6" w:rsidRDefault="002067A2" w:rsidP="002067A2">
      <w:pPr>
        <w:pStyle w:val="Titre1"/>
      </w:pPr>
      <w:r w:rsidRPr="00F72CA6">
        <w:t>References</w:t>
      </w:r>
    </w:p>
    <w:p w14:paraId="13DC2030" w14:textId="77777777" w:rsidR="004F3CE2" w:rsidRPr="004F3CE2" w:rsidRDefault="004F3CE2" w:rsidP="004F3CE2">
      <w:pPr>
        <w:pStyle w:val="Paragraphedeliste"/>
        <w:numPr>
          <w:ilvl w:val="0"/>
          <w:numId w:val="6"/>
        </w:numPr>
        <w:ind w:leftChars="0"/>
        <w:rPr>
          <w:rFonts w:eastAsia="MS Gothic" w:cs="Times New Roman"/>
          <w:b/>
        </w:rPr>
      </w:pPr>
      <w:bookmarkStart w:id="11" w:name="_Ref102147610"/>
      <w:r w:rsidRPr="004F3CE2">
        <w:rPr>
          <w:rFonts w:eastAsia="MS Gothic" w:cs="Times New Roman"/>
          <w:b/>
        </w:rPr>
        <w:t xml:space="preserve">RP-220300, WID revision: NR </w:t>
      </w:r>
      <w:proofErr w:type="spellStart"/>
      <w:r w:rsidRPr="004F3CE2">
        <w:rPr>
          <w:rFonts w:eastAsia="MS Gothic" w:cs="Times New Roman"/>
          <w:b/>
        </w:rPr>
        <w:t>sidelink</w:t>
      </w:r>
      <w:proofErr w:type="spellEnd"/>
      <w:r w:rsidRPr="004F3CE2">
        <w:rPr>
          <w:rFonts w:eastAsia="MS Gothic" w:cs="Times New Roman"/>
          <w:b/>
        </w:rPr>
        <w:t xml:space="preserve"> evolution, 3GPP TSG RAN Meeting #95e.</w:t>
      </w:r>
      <w:bookmarkEnd w:id="11"/>
    </w:p>
    <w:p w14:paraId="25867E01" w14:textId="339CC53B" w:rsidR="008F182D" w:rsidRDefault="008F182D" w:rsidP="00A83877">
      <w:pPr>
        <w:pStyle w:val="Titre3"/>
        <w:numPr>
          <w:ilvl w:val="0"/>
          <w:numId w:val="6"/>
        </w:numPr>
      </w:pPr>
      <w:bookmarkStart w:id="12" w:name="_Ref102150721"/>
      <w:r>
        <w:t>RWS-210360, 5GAA input to 3GPP Rel.18 Workshop, 5GAA.</w:t>
      </w:r>
      <w:bookmarkEnd w:id="12"/>
    </w:p>
    <w:p w14:paraId="5E6BBAB7" w14:textId="1FC6B7D1" w:rsidR="002D1470" w:rsidRDefault="002D1470" w:rsidP="00A83877">
      <w:pPr>
        <w:pStyle w:val="Titre3"/>
        <w:numPr>
          <w:ilvl w:val="0"/>
          <w:numId w:val="6"/>
        </w:numPr>
      </w:pPr>
      <w:r>
        <w:t>RWS-21006, On NR-LTE V2X Co-Channel Coexistence, Qualcomm.</w:t>
      </w:r>
    </w:p>
    <w:p w14:paraId="6DB4DBCB" w14:textId="77777777" w:rsidR="003617E6" w:rsidRDefault="002D1470" w:rsidP="00A83877">
      <w:pPr>
        <w:pStyle w:val="Titre3"/>
        <w:numPr>
          <w:ilvl w:val="0"/>
          <w:numId w:val="6"/>
        </w:numPr>
      </w:pPr>
      <w:r>
        <w:t xml:space="preserve">RWS-210244, Enhancements for </w:t>
      </w:r>
      <w:proofErr w:type="spellStart"/>
      <w:r>
        <w:t>sidelink</w:t>
      </w:r>
      <w:proofErr w:type="spellEnd"/>
      <w:r>
        <w:t xml:space="preserve"> operations, LG Electronics</w:t>
      </w:r>
      <w:r w:rsidR="003617E6">
        <w:t>.</w:t>
      </w:r>
    </w:p>
    <w:p w14:paraId="072DCB94" w14:textId="77777777" w:rsidR="00626243" w:rsidRDefault="003617E6" w:rsidP="008F182D">
      <w:pPr>
        <w:pStyle w:val="Titre3"/>
        <w:numPr>
          <w:ilvl w:val="0"/>
          <w:numId w:val="6"/>
        </w:numPr>
      </w:pPr>
      <w:r w:rsidRPr="003617E6">
        <w:t>RWS-210445</w:t>
      </w:r>
      <w:r>
        <w:t xml:space="preserve">, </w:t>
      </w:r>
      <w:r w:rsidRPr="003617E6">
        <w:t xml:space="preserve">NR </w:t>
      </w:r>
      <w:proofErr w:type="spellStart"/>
      <w:r w:rsidRPr="003617E6">
        <w:t>sidelink</w:t>
      </w:r>
      <w:proofErr w:type="spellEnd"/>
      <w:r w:rsidRPr="003617E6">
        <w:t xml:space="preserve"> and V2X enhancements</w:t>
      </w:r>
      <w:r>
        <w:t xml:space="preserve">, Huawei, </w:t>
      </w:r>
      <w:proofErr w:type="spellStart"/>
      <w:r>
        <w:t>HiSilicon</w:t>
      </w:r>
      <w:proofErr w:type="spellEnd"/>
      <w:r w:rsidR="00626243">
        <w:t>.</w:t>
      </w:r>
    </w:p>
    <w:p w14:paraId="5E21AB34" w14:textId="77777777" w:rsidR="00626243" w:rsidRDefault="00626243" w:rsidP="008F182D">
      <w:pPr>
        <w:pStyle w:val="Titre3"/>
        <w:numPr>
          <w:ilvl w:val="0"/>
          <w:numId w:val="6"/>
        </w:numPr>
      </w:pPr>
      <w:bookmarkStart w:id="13" w:name="_Ref115445889"/>
      <w:r>
        <w:t>Chairman’s notes, RAN1#110, August 2022, Toulouse, France.</w:t>
      </w:r>
      <w:bookmarkEnd w:id="13"/>
    </w:p>
    <w:p w14:paraId="44815D1A" w14:textId="77777777" w:rsidR="00626243" w:rsidRDefault="00626243" w:rsidP="008F182D">
      <w:pPr>
        <w:pStyle w:val="Titre3"/>
        <w:numPr>
          <w:ilvl w:val="0"/>
          <w:numId w:val="6"/>
        </w:numPr>
      </w:pPr>
      <w:bookmarkStart w:id="14" w:name="_Ref115445989"/>
      <w:r>
        <w:t>Chairman’s notes, RAN#97-e, electronic meeting.</w:t>
      </w:r>
      <w:bookmarkEnd w:id="14"/>
    </w:p>
    <w:p w14:paraId="6BC4FD4E" w14:textId="60C2ED66" w:rsidR="00874CBF" w:rsidRDefault="00626243" w:rsidP="008F182D">
      <w:pPr>
        <w:pStyle w:val="Titre3"/>
        <w:numPr>
          <w:ilvl w:val="0"/>
          <w:numId w:val="6"/>
        </w:numPr>
      </w:pPr>
      <w:bookmarkStart w:id="15" w:name="_Ref115445904"/>
      <w:r>
        <w:t xml:space="preserve">RP-222369, </w:t>
      </w:r>
      <w:r w:rsidRPr="001B6A9C">
        <w:rPr>
          <w:rFonts w:asciiTheme="minorBidi" w:hAnsiTheme="minorBidi"/>
          <w:bCs/>
          <w:snapToGrid w:val="0"/>
          <w:lang w:val="en-GB"/>
        </w:rPr>
        <w:t xml:space="preserve">Discussion on Co-Channel Coexistence for LTE </w:t>
      </w:r>
      <w:proofErr w:type="spellStart"/>
      <w:r w:rsidRPr="001B6A9C">
        <w:rPr>
          <w:rFonts w:asciiTheme="minorBidi" w:hAnsiTheme="minorBidi"/>
          <w:bCs/>
          <w:snapToGrid w:val="0"/>
          <w:lang w:val="en-GB"/>
        </w:rPr>
        <w:t>Sidelink</w:t>
      </w:r>
      <w:proofErr w:type="spellEnd"/>
      <w:r w:rsidRPr="001B6A9C">
        <w:rPr>
          <w:rFonts w:asciiTheme="minorBidi" w:hAnsiTheme="minorBidi"/>
          <w:bCs/>
          <w:snapToGrid w:val="0"/>
          <w:lang w:val="en-GB"/>
        </w:rPr>
        <w:t xml:space="preserve"> and NR </w:t>
      </w:r>
      <w:proofErr w:type="spellStart"/>
      <w:r w:rsidRPr="001B6A9C">
        <w:rPr>
          <w:rFonts w:asciiTheme="minorBidi" w:hAnsiTheme="minorBidi"/>
          <w:bCs/>
          <w:snapToGrid w:val="0"/>
          <w:lang w:val="en-GB"/>
        </w:rPr>
        <w:t>Sidelink</w:t>
      </w:r>
      <w:proofErr w:type="spellEnd"/>
      <w:r>
        <w:rPr>
          <w:rFonts w:asciiTheme="minorBidi" w:hAnsiTheme="minorBidi"/>
          <w:bCs/>
          <w:snapToGrid w:val="0"/>
          <w:lang w:val="en-GB"/>
        </w:rPr>
        <w:t xml:space="preserve">, </w:t>
      </w:r>
      <w:r w:rsidRPr="00BA45FD">
        <w:rPr>
          <w:rFonts w:asciiTheme="minorBidi" w:hAnsiTheme="minorBidi"/>
          <w:bCs/>
          <w:snapToGrid w:val="0"/>
          <w:lang w:val="en-GB"/>
        </w:rPr>
        <w:t xml:space="preserve">Continental Automotive GmbH, Toyota </w:t>
      </w:r>
      <w:proofErr w:type="spellStart"/>
      <w:r w:rsidRPr="00BA45FD">
        <w:rPr>
          <w:rFonts w:asciiTheme="minorBidi" w:hAnsiTheme="minorBidi"/>
          <w:bCs/>
          <w:snapToGrid w:val="0"/>
          <w:lang w:val="en-GB"/>
        </w:rPr>
        <w:t>InfoTechnology</w:t>
      </w:r>
      <w:proofErr w:type="spellEnd"/>
      <w:r w:rsidRPr="00BA45FD">
        <w:rPr>
          <w:rFonts w:asciiTheme="minorBidi" w:hAnsiTheme="minorBidi"/>
          <w:bCs/>
          <w:snapToGrid w:val="0"/>
          <w:lang w:val="en-GB"/>
        </w:rPr>
        <w:t xml:space="preserve"> </w:t>
      </w:r>
      <w:proofErr w:type="spellStart"/>
      <w:r w:rsidRPr="00BA45FD">
        <w:rPr>
          <w:rFonts w:asciiTheme="minorBidi" w:hAnsiTheme="minorBidi"/>
          <w:bCs/>
          <w:snapToGrid w:val="0"/>
          <w:lang w:val="en-GB"/>
        </w:rPr>
        <w:t>Center</w:t>
      </w:r>
      <w:proofErr w:type="spellEnd"/>
      <w:r w:rsidRPr="00BA45FD">
        <w:rPr>
          <w:rFonts w:asciiTheme="minorBidi" w:hAnsiTheme="minorBidi"/>
          <w:bCs/>
          <w:snapToGrid w:val="0"/>
          <w:lang w:val="en-GB"/>
        </w:rPr>
        <w:t>, Robert Bosch GmbH, Mitsubishi, Volkswagen AG, Deutsche Telekom, Fraunhofer HHI, Fraunhofer IIS</w:t>
      </w:r>
      <w:r>
        <w:rPr>
          <w:rFonts w:asciiTheme="minorBidi" w:hAnsiTheme="minorBidi"/>
          <w:bCs/>
          <w:snapToGrid w:val="0"/>
          <w:lang w:val="en-GB"/>
        </w:rPr>
        <w:t xml:space="preserve">/ </w:t>
      </w:r>
      <w:r>
        <w:t>RAN#97-e, electronic meeting</w:t>
      </w:r>
      <w:r w:rsidR="000C375D">
        <w:t>.</w:t>
      </w:r>
      <w:bookmarkEnd w:id="15"/>
    </w:p>
    <w:p w14:paraId="33E1EA0F" w14:textId="11D644BC" w:rsidR="002D1470" w:rsidRDefault="002D1470" w:rsidP="002D1470"/>
    <w:p w14:paraId="6417A3A8" w14:textId="77777777" w:rsidR="005C2135" w:rsidRPr="002D1470" w:rsidRDefault="005C2135" w:rsidP="002D1470"/>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6BFD" w14:textId="77777777" w:rsidR="00283DEC" w:rsidRDefault="00283DEC" w:rsidP="00A81622">
      <w:r>
        <w:separator/>
      </w:r>
    </w:p>
  </w:endnote>
  <w:endnote w:type="continuationSeparator" w:id="0">
    <w:p w14:paraId="62CE22BC" w14:textId="77777777" w:rsidR="00283DEC" w:rsidRDefault="00283DEC" w:rsidP="00A81622">
      <w:r>
        <w:continuationSeparator/>
      </w:r>
    </w:p>
  </w:endnote>
  <w:endnote w:type="continuationNotice" w:id="1">
    <w:p w14:paraId="3203828D" w14:textId="77777777" w:rsidR="00283DEC" w:rsidRDefault="00283DE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6B7B0" w14:textId="77777777" w:rsidR="00283DEC" w:rsidRDefault="00283DEC" w:rsidP="00A81622">
      <w:r>
        <w:separator/>
      </w:r>
    </w:p>
  </w:footnote>
  <w:footnote w:type="continuationSeparator" w:id="0">
    <w:p w14:paraId="55318EBF" w14:textId="77777777" w:rsidR="00283DEC" w:rsidRDefault="00283DEC" w:rsidP="00A81622">
      <w:r>
        <w:continuationSeparator/>
      </w:r>
    </w:p>
  </w:footnote>
  <w:footnote w:type="continuationNotice" w:id="1">
    <w:p w14:paraId="0D175308" w14:textId="77777777" w:rsidR="00283DEC" w:rsidRDefault="00283DEC"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6"/>
  </w:num>
  <w:num w:numId="5">
    <w:abstractNumId w:val="12"/>
  </w:num>
  <w:num w:numId="6">
    <w:abstractNumId w:val="4"/>
  </w:num>
  <w:num w:numId="7">
    <w:abstractNumId w:val="7"/>
  </w:num>
  <w:num w:numId="8">
    <w:abstractNumId w:val="1"/>
  </w:num>
  <w:num w:numId="9">
    <w:abstractNumId w:val="3"/>
  </w:num>
  <w:num w:numId="10">
    <w:abstractNumId w:val="5"/>
  </w:num>
  <w:num w:numId="11">
    <w:abstractNumId w:val="8"/>
  </w:num>
  <w:num w:numId="12">
    <w:abstractNumId w:val="2"/>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494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2B44"/>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177E5"/>
    <w:rsid w:val="00020867"/>
    <w:rsid w:val="00020AA9"/>
    <w:rsid w:val="00020AFD"/>
    <w:rsid w:val="00021A91"/>
    <w:rsid w:val="00021B6B"/>
    <w:rsid w:val="00021D29"/>
    <w:rsid w:val="000224D5"/>
    <w:rsid w:val="000229BA"/>
    <w:rsid w:val="000229F4"/>
    <w:rsid w:val="00022B91"/>
    <w:rsid w:val="00022B9D"/>
    <w:rsid w:val="00024877"/>
    <w:rsid w:val="00025524"/>
    <w:rsid w:val="000259EE"/>
    <w:rsid w:val="000267E0"/>
    <w:rsid w:val="00026A88"/>
    <w:rsid w:val="00026F39"/>
    <w:rsid w:val="00027827"/>
    <w:rsid w:val="00027B8C"/>
    <w:rsid w:val="00027CD5"/>
    <w:rsid w:val="00030C10"/>
    <w:rsid w:val="000319DE"/>
    <w:rsid w:val="00031B56"/>
    <w:rsid w:val="0003226C"/>
    <w:rsid w:val="00032E84"/>
    <w:rsid w:val="00033032"/>
    <w:rsid w:val="00033ABA"/>
    <w:rsid w:val="00033B16"/>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AEB"/>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B2"/>
    <w:rsid w:val="000822D4"/>
    <w:rsid w:val="00082607"/>
    <w:rsid w:val="00082FFC"/>
    <w:rsid w:val="00083024"/>
    <w:rsid w:val="000830F1"/>
    <w:rsid w:val="00083150"/>
    <w:rsid w:val="00083237"/>
    <w:rsid w:val="0008352A"/>
    <w:rsid w:val="0008355D"/>
    <w:rsid w:val="00083A4F"/>
    <w:rsid w:val="00085084"/>
    <w:rsid w:val="000850E8"/>
    <w:rsid w:val="00085157"/>
    <w:rsid w:val="0008582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976FD"/>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2A24"/>
    <w:rsid w:val="000B345F"/>
    <w:rsid w:val="000B3B2B"/>
    <w:rsid w:val="000B4354"/>
    <w:rsid w:val="000B4A27"/>
    <w:rsid w:val="000B5D3D"/>
    <w:rsid w:val="000B6491"/>
    <w:rsid w:val="000B6B20"/>
    <w:rsid w:val="000B7582"/>
    <w:rsid w:val="000B7E30"/>
    <w:rsid w:val="000B7EB4"/>
    <w:rsid w:val="000C01A4"/>
    <w:rsid w:val="000C036F"/>
    <w:rsid w:val="000C0377"/>
    <w:rsid w:val="000C07B6"/>
    <w:rsid w:val="000C07D4"/>
    <w:rsid w:val="000C0A98"/>
    <w:rsid w:val="000C0BBC"/>
    <w:rsid w:val="000C1793"/>
    <w:rsid w:val="000C17B1"/>
    <w:rsid w:val="000C2088"/>
    <w:rsid w:val="000C26DF"/>
    <w:rsid w:val="000C2C6D"/>
    <w:rsid w:val="000C375D"/>
    <w:rsid w:val="000C3933"/>
    <w:rsid w:val="000C3C03"/>
    <w:rsid w:val="000C3F67"/>
    <w:rsid w:val="000C4822"/>
    <w:rsid w:val="000C5723"/>
    <w:rsid w:val="000C6405"/>
    <w:rsid w:val="000C6B8D"/>
    <w:rsid w:val="000C6CF2"/>
    <w:rsid w:val="000C73E4"/>
    <w:rsid w:val="000C7CE5"/>
    <w:rsid w:val="000D0A1A"/>
    <w:rsid w:val="000D189C"/>
    <w:rsid w:val="000D2AB6"/>
    <w:rsid w:val="000D3CAF"/>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0A89"/>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596"/>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11C"/>
    <w:rsid w:val="00104DEB"/>
    <w:rsid w:val="00105152"/>
    <w:rsid w:val="00105249"/>
    <w:rsid w:val="001059C9"/>
    <w:rsid w:val="00105B8B"/>
    <w:rsid w:val="0010654C"/>
    <w:rsid w:val="0010695E"/>
    <w:rsid w:val="00106D3C"/>
    <w:rsid w:val="001071AD"/>
    <w:rsid w:val="00107306"/>
    <w:rsid w:val="00110921"/>
    <w:rsid w:val="00110AD2"/>
    <w:rsid w:val="0011341E"/>
    <w:rsid w:val="001135F3"/>
    <w:rsid w:val="001139CB"/>
    <w:rsid w:val="00113AE9"/>
    <w:rsid w:val="00113C03"/>
    <w:rsid w:val="00113CF9"/>
    <w:rsid w:val="001142B1"/>
    <w:rsid w:val="0011461E"/>
    <w:rsid w:val="00114CF5"/>
    <w:rsid w:val="001156FA"/>
    <w:rsid w:val="00115DE4"/>
    <w:rsid w:val="0011697A"/>
    <w:rsid w:val="00117C28"/>
    <w:rsid w:val="00117D9D"/>
    <w:rsid w:val="00117E3F"/>
    <w:rsid w:val="00117ED5"/>
    <w:rsid w:val="0012017F"/>
    <w:rsid w:val="001202FF"/>
    <w:rsid w:val="001207FF"/>
    <w:rsid w:val="00121062"/>
    <w:rsid w:val="0012144F"/>
    <w:rsid w:val="001221A9"/>
    <w:rsid w:val="00122C83"/>
    <w:rsid w:val="00122D3C"/>
    <w:rsid w:val="00123213"/>
    <w:rsid w:val="00123401"/>
    <w:rsid w:val="00123453"/>
    <w:rsid w:val="00123497"/>
    <w:rsid w:val="00125670"/>
    <w:rsid w:val="00125812"/>
    <w:rsid w:val="00125A47"/>
    <w:rsid w:val="00125E8F"/>
    <w:rsid w:val="0012649E"/>
    <w:rsid w:val="00130553"/>
    <w:rsid w:val="00130FBE"/>
    <w:rsid w:val="001310A8"/>
    <w:rsid w:val="0013159F"/>
    <w:rsid w:val="001333E6"/>
    <w:rsid w:val="0013347E"/>
    <w:rsid w:val="001336FF"/>
    <w:rsid w:val="001344C5"/>
    <w:rsid w:val="00135BA8"/>
    <w:rsid w:val="00135D04"/>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170"/>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681"/>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1ABB"/>
    <w:rsid w:val="001B2654"/>
    <w:rsid w:val="001B2755"/>
    <w:rsid w:val="001B325F"/>
    <w:rsid w:val="001B44E0"/>
    <w:rsid w:val="001B4A82"/>
    <w:rsid w:val="001B523D"/>
    <w:rsid w:val="001B63F6"/>
    <w:rsid w:val="001B6527"/>
    <w:rsid w:val="001B6CB6"/>
    <w:rsid w:val="001B7B3D"/>
    <w:rsid w:val="001B7B93"/>
    <w:rsid w:val="001C0373"/>
    <w:rsid w:val="001C0737"/>
    <w:rsid w:val="001C119A"/>
    <w:rsid w:val="001C2448"/>
    <w:rsid w:val="001C28A0"/>
    <w:rsid w:val="001C2C3D"/>
    <w:rsid w:val="001C3206"/>
    <w:rsid w:val="001C325C"/>
    <w:rsid w:val="001C364B"/>
    <w:rsid w:val="001C3B1C"/>
    <w:rsid w:val="001C3B52"/>
    <w:rsid w:val="001C3BD5"/>
    <w:rsid w:val="001C3FD1"/>
    <w:rsid w:val="001C4EA7"/>
    <w:rsid w:val="001C4F5B"/>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5FDB"/>
    <w:rsid w:val="001D679D"/>
    <w:rsid w:val="001D77B0"/>
    <w:rsid w:val="001E048B"/>
    <w:rsid w:val="001E1E5B"/>
    <w:rsid w:val="001E3859"/>
    <w:rsid w:val="001E3C5F"/>
    <w:rsid w:val="001E3F43"/>
    <w:rsid w:val="001E4B85"/>
    <w:rsid w:val="001E5C47"/>
    <w:rsid w:val="001E637E"/>
    <w:rsid w:val="001E6DC4"/>
    <w:rsid w:val="001E7049"/>
    <w:rsid w:val="001E70C0"/>
    <w:rsid w:val="001E7AF4"/>
    <w:rsid w:val="001F0F87"/>
    <w:rsid w:val="001F0FED"/>
    <w:rsid w:val="001F1F7F"/>
    <w:rsid w:val="001F202A"/>
    <w:rsid w:val="001F206B"/>
    <w:rsid w:val="001F2715"/>
    <w:rsid w:val="001F3086"/>
    <w:rsid w:val="001F33DF"/>
    <w:rsid w:val="001F35DD"/>
    <w:rsid w:val="001F3F1D"/>
    <w:rsid w:val="001F43A6"/>
    <w:rsid w:val="001F5259"/>
    <w:rsid w:val="001F52FB"/>
    <w:rsid w:val="001F56ED"/>
    <w:rsid w:val="001F6AB5"/>
    <w:rsid w:val="002015BD"/>
    <w:rsid w:val="00201711"/>
    <w:rsid w:val="002022BC"/>
    <w:rsid w:val="0020252E"/>
    <w:rsid w:val="002026B8"/>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1628"/>
    <w:rsid w:val="00221C26"/>
    <w:rsid w:val="0022245A"/>
    <w:rsid w:val="002224A6"/>
    <w:rsid w:val="002225EB"/>
    <w:rsid w:val="0022295E"/>
    <w:rsid w:val="00222DAA"/>
    <w:rsid w:val="00223438"/>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4DD"/>
    <w:rsid w:val="00234DBE"/>
    <w:rsid w:val="00236203"/>
    <w:rsid w:val="002362CF"/>
    <w:rsid w:val="00236591"/>
    <w:rsid w:val="00236A00"/>
    <w:rsid w:val="00236D69"/>
    <w:rsid w:val="00237CB8"/>
    <w:rsid w:val="00237D6F"/>
    <w:rsid w:val="0024026D"/>
    <w:rsid w:val="0024234E"/>
    <w:rsid w:val="0024498C"/>
    <w:rsid w:val="00244AF2"/>
    <w:rsid w:val="00245168"/>
    <w:rsid w:val="002457AF"/>
    <w:rsid w:val="00251239"/>
    <w:rsid w:val="0025123C"/>
    <w:rsid w:val="00251C15"/>
    <w:rsid w:val="00252628"/>
    <w:rsid w:val="00252726"/>
    <w:rsid w:val="00252BA9"/>
    <w:rsid w:val="00255663"/>
    <w:rsid w:val="002561B3"/>
    <w:rsid w:val="00256952"/>
    <w:rsid w:val="00256995"/>
    <w:rsid w:val="00256B76"/>
    <w:rsid w:val="0025756D"/>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3D7B"/>
    <w:rsid w:val="00283DEC"/>
    <w:rsid w:val="0028455B"/>
    <w:rsid w:val="002845D1"/>
    <w:rsid w:val="0028474F"/>
    <w:rsid w:val="00284C97"/>
    <w:rsid w:val="0028529E"/>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47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6132"/>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3EC4"/>
    <w:rsid w:val="00324558"/>
    <w:rsid w:val="003248FE"/>
    <w:rsid w:val="00324E52"/>
    <w:rsid w:val="00325008"/>
    <w:rsid w:val="003254C6"/>
    <w:rsid w:val="00325B01"/>
    <w:rsid w:val="00325BC8"/>
    <w:rsid w:val="00325E1F"/>
    <w:rsid w:val="003263AB"/>
    <w:rsid w:val="003263C1"/>
    <w:rsid w:val="003266E7"/>
    <w:rsid w:val="003268BA"/>
    <w:rsid w:val="003273EE"/>
    <w:rsid w:val="00327818"/>
    <w:rsid w:val="00327CF5"/>
    <w:rsid w:val="00327DE8"/>
    <w:rsid w:val="00327DFD"/>
    <w:rsid w:val="00330483"/>
    <w:rsid w:val="00332417"/>
    <w:rsid w:val="00332EC3"/>
    <w:rsid w:val="00333ADC"/>
    <w:rsid w:val="00334CFA"/>
    <w:rsid w:val="00334E77"/>
    <w:rsid w:val="00335102"/>
    <w:rsid w:val="00335135"/>
    <w:rsid w:val="00335240"/>
    <w:rsid w:val="00335752"/>
    <w:rsid w:val="00336C47"/>
    <w:rsid w:val="00336E5F"/>
    <w:rsid w:val="00337976"/>
    <w:rsid w:val="003379AD"/>
    <w:rsid w:val="003413BE"/>
    <w:rsid w:val="00341880"/>
    <w:rsid w:val="00341976"/>
    <w:rsid w:val="00341D5A"/>
    <w:rsid w:val="0034298A"/>
    <w:rsid w:val="003434B6"/>
    <w:rsid w:val="0034541A"/>
    <w:rsid w:val="00345F96"/>
    <w:rsid w:val="003461FC"/>
    <w:rsid w:val="00346EFF"/>
    <w:rsid w:val="00347090"/>
    <w:rsid w:val="00347265"/>
    <w:rsid w:val="0034746C"/>
    <w:rsid w:val="00347AD2"/>
    <w:rsid w:val="00350042"/>
    <w:rsid w:val="00350324"/>
    <w:rsid w:val="00350551"/>
    <w:rsid w:val="00350672"/>
    <w:rsid w:val="003509AF"/>
    <w:rsid w:val="00350E53"/>
    <w:rsid w:val="00351169"/>
    <w:rsid w:val="00351460"/>
    <w:rsid w:val="0035175B"/>
    <w:rsid w:val="00351A75"/>
    <w:rsid w:val="00351B5E"/>
    <w:rsid w:val="00351ECE"/>
    <w:rsid w:val="0035210D"/>
    <w:rsid w:val="00352329"/>
    <w:rsid w:val="0035261C"/>
    <w:rsid w:val="003533DE"/>
    <w:rsid w:val="00353BE5"/>
    <w:rsid w:val="00354069"/>
    <w:rsid w:val="00354916"/>
    <w:rsid w:val="00355054"/>
    <w:rsid w:val="00355B1B"/>
    <w:rsid w:val="00355BCB"/>
    <w:rsid w:val="0035602C"/>
    <w:rsid w:val="00356E1F"/>
    <w:rsid w:val="00357908"/>
    <w:rsid w:val="00357909"/>
    <w:rsid w:val="00357E6E"/>
    <w:rsid w:val="00357F61"/>
    <w:rsid w:val="0036078A"/>
    <w:rsid w:val="00361629"/>
    <w:rsid w:val="0036177C"/>
    <w:rsid w:val="003617E6"/>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54F9"/>
    <w:rsid w:val="003768EF"/>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4475"/>
    <w:rsid w:val="003A55C0"/>
    <w:rsid w:val="003A56F1"/>
    <w:rsid w:val="003A5AFF"/>
    <w:rsid w:val="003A5D53"/>
    <w:rsid w:val="003A5FA6"/>
    <w:rsid w:val="003A6257"/>
    <w:rsid w:val="003A64F8"/>
    <w:rsid w:val="003A6B08"/>
    <w:rsid w:val="003A6EDB"/>
    <w:rsid w:val="003A7589"/>
    <w:rsid w:val="003A7D1C"/>
    <w:rsid w:val="003B1E0F"/>
    <w:rsid w:val="003B27EB"/>
    <w:rsid w:val="003B41A8"/>
    <w:rsid w:val="003B47C6"/>
    <w:rsid w:val="003B48D7"/>
    <w:rsid w:val="003B4F3F"/>
    <w:rsid w:val="003B59A4"/>
    <w:rsid w:val="003B5AB9"/>
    <w:rsid w:val="003B620B"/>
    <w:rsid w:val="003B6238"/>
    <w:rsid w:val="003B641C"/>
    <w:rsid w:val="003B6CAA"/>
    <w:rsid w:val="003B7034"/>
    <w:rsid w:val="003B7855"/>
    <w:rsid w:val="003C12FA"/>
    <w:rsid w:val="003C179A"/>
    <w:rsid w:val="003C19F5"/>
    <w:rsid w:val="003C1C9E"/>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7D2"/>
    <w:rsid w:val="003D482A"/>
    <w:rsid w:val="003D4BB3"/>
    <w:rsid w:val="003D5150"/>
    <w:rsid w:val="003D56EF"/>
    <w:rsid w:val="003D5DB5"/>
    <w:rsid w:val="003D6413"/>
    <w:rsid w:val="003D6BA0"/>
    <w:rsid w:val="003D6FA6"/>
    <w:rsid w:val="003D70E5"/>
    <w:rsid w:val="003D711B"/>
    <w:rsid w:val="003D746F"/>
    <w:rsid w:val="003D7867"/>
    <w:rsid w:val="003E0313"/>
    <w:rsid w:val="003E0A34"/>
    <w:rsid w:val="003E16BF"/>
    <w:rsid w:val="003E21B7"/>
    <w:rsid w:val="003E2210"/>
    <w:rsid w:val="003E228C"/>
    <w:rsid w:val="003E4ACC"/>
    <w:rsid w:val="003E5482"/>
    <w:rsid w:val="003E60DF"/>
    <w:rsid w:val="003E653C"/>
    <w:rsid w:val="003E6689"/>
    <w:rsid w:val="003F00C7"/>
    <w:rsid w:val="003F07C6"/>
    <w:rsid w:val="003F08AE"/>
    <w:rsid w:val="003F0A0F"/>
    <w:rsid w:val="003F15C0"/>
    <w:rsid w:val="003F176E"/>
    <w:rsid w:val="003F1A8D"/>
    <w:rsid w:val="003F23A8"/>
    <w:rsid w:val="003F2DFE"/>
    <w:rsid w:val="003F32A2"/>
    <w:rsid w:val="003F4936"/>
    <w:rsid w:val="003F4981"/>
    <w:rsid w:val="003F4BE8"/>
    <w:rsid w:val="003F5707"/>
    <w:rsid w:val="003F59CF"/>
    <w:rsid w:val="003F5EE0"/>
    <w:rsid w:val="003F7351"/>
    <w:rsid w:val="003F7CA2"/>
    <w:rsid w:val="0040063B"/>
    <w:rsid w:val="00400C44"/>
    <w:rsid w:val="004018A1"/>
    <w:rsid w:val="00401CD7"/>
    <w:rsid w:val="00401CF8"/>
    <w:rsid w:val="0040216B"/>
    <w:rsid w:val="004022E6"/>
    <w:rsid w:val="004025CA"/>
    <w:rsid w:val="00402889"/>
    <w:rsid w:val="00402994"/>
    <w:rsid w:val="00402AA8"/>
    <w:rsid w:val="00402B6B"/>
    <w:rsid w:val="00402D17"/>
    <w:rsid w:val="0040316E"/>
    <w:rsid w:val="004034D3"/>
    <w:rsid w:val="00403711"/>
    <w:rsid w:val="00403DD3"/>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BAE"/>
    <w:rsid w:val="00411D76"/>
    <w:rsid w:val="00412169"/>
    <w:rsid w:val="00412222"/>
    <w:rsid w:val="004128BE"/>
    <w:rsid w:val="004134A7"/>
    <w:rsid w:val="004146BA"/>
    <w:rsid w:val="0041506E"/>
    <w:rsid w:val="00415FBF"/>
    <w:rsid w:val="0041603F"/>
    <w:rsid w:val="004164AA"/>
    <w:rsid w:val="00416A37"/>
    <w:rsid w:val="00417400"/>
    <w:rsid w:val="004175B5"/>
    <w:rsid w:val="0041787B"/>
    <w:rsid w:val="00417FA9"/>
    <w:rsid w:val="00420560"/>
    <w:rsid w:val="00420782"/>
    <w:rsid w:val="0042089C"/>
    <w:rsid w:val="004216C4"/>
    <w:rsid w:val="00421C2C"/>
    <w:rsid w:val="00422B68"/>
    <w:rsid w:val="00423186"/>
    <w:rsid w:val="00423ABB"/>
    <w:rsid w:val="004243C0"/>
    <w:rsid w:val="004250E2"/>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129A"/>
    <w:rsid w:val="00431816"/>
    <w:rsid w:val="004322FD"/>
    <w:rsid w:val="0043267A"/>
    <w:rsid w:val="00432B37"/>
    <w:rsid w:val="004334A6"/>
    <w:rsid w:val="004339B1"/>
    <w:rsid w:val="00434478"/>
    <w:rsid w:val="00434C3C"/>
    <w:rsid w:val="00434FEA"/>
    <w:rsid w:val="00435C71"/>
    <w:rsid w:val="00436A8B"/>
    <w:rsid w:val="00436BD7"/>
    <w:rsid w:val="00437313"/>
    <w:rsid w:val="004376DD"/>
    <w:rsid w:val="00437700"/>
    <w:rsid w:val="004402A1"/>
    <w:rsid w:val="00440E56"/>
    <w:rsid w:val="004416B1"/>
    <w:rsid w:val="00441D9A"/>
    <w:rsid w:val="004427A7"/>
    <w:rsid w:val="004431F4"/>
    <w:rsid w:val="004433FE"/>
    <w:rsid w:val="004438CD"/>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223"/>
    <w:rsid w:val="004536A8"/>
    <w:rsid w:val="00453C85"/>
    <w:rsid w:val="00453D1A"/>
    <w:rsid w:val="004553B3"/>
    <w:rsid w:val="0045548D"/>
    <w:rsid w:val="00455936"/>
    <w:rsid w:val="00455BFF"/>
    <w:rsid w:val="00455EEF"/>
    <w:rsid w:val="0045716B"/>
    <w:rsid w:val="00457888"/>
    <w:rsid w:val="00457951"/>
    <w:rsid w:val="004601D5"/>
    <w:rsid w:val="00461BBC"/>
    <w:rsid w:val="00462210"/>
    <w:rsid w:val="00462233"/>
    <w:rsid w:val="00462356"/>
    <w:rsid w:val="00462530"/>
    <w:rsid w:val="00462599"/>
    <w:rsid w:val="0046287A"/>
    <w:rsid w:val="004628BB"/>
    <w:rsid w:val="0046327F"/>
    <w:rsid w:val="004640CB"/>
    <w:rsid w:val="004643A0"/>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690C"/>
    <w:rsid w:val="0047794F"/>
    <w:rsid w:val="004804B6"/>
    <w:rsid w:val="00481330"/>
    <w:rsid w:val="00481576"/>
    <w:rsid w:val="00483C55"/>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099F"/>
    <w:rsid w:val="004927EC"/>
    <w:rsid w:val="00492819"/>
    <w:rsid w:val="00494207"/>
    <w:rsid w:val="00495BBB"/>
    <w:rsid w:val="0049699D"/>
    <w:rsid w:val="00497A01"/>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A7EAC"/>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7456"/>
    <w:rsid w:val="004C7D06"/>
    <w:rsid w:val="004C7F37"/>
    <w:rsid w:val="004D1349"/>
    <w:rsid w:val="004D1660"/>
    <w:rsid w:val="004D2217"/>
    <w:rsid w:val="004D2472"/>
    <w:rsid w:val="004D28EE"/>
    <w:rsid w:val="004D31E3"/>
    <w:rsid w:val="004D33B0"/>
    <w:rsid w:val="004D43F3"/>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3F93"/>
    <w:rsid w:val="004E4830"/>
    <w:rsid w:val="004E4CBB"/>
    <w:rsid w:val="004E4DBA"/>
    <w:rsid w:val="004E5596"/>
    <w:rsid w:val="004E5978"/>
    <w:rsid w:val="004F0443"/>
    <w:rsid w:val="004F0572"/>
    <w:rsid w:val="004F09D2"/>
    <w:rsid w:val="004F0AB6"/>
    <w:rsid w:val="004F1D37"/>
    <w:rsid w:val="004F2D58"/>
    <w:rsid w:val="004F353F"/>
    <w:rsid w:val="004F37B6"/>
    <w:rsid w:val="004F3B0F"/>
    <w:rsid w:val="004F3CE2"/>
    <w:rsid w:val="004F3D6E"/>
    <w:rsid w:val="004F4089"/>
    <w:rsid w:val="004F415E"/>
    <w:rsid w:val="004F49D4"/>
    <w:rsid w:val="004F53CC"/>
    <w:rsid w:val="004F5826"/>
    <w:rsid w:val="004F5A91"/>
    <w:rsid w:val="004F5ADC"/>
    <w:rsid w:val="004F5CDE"/>
    <w:rsid w:val="004F6966"/>
    <w:rsid w:val="004F6AC0"/>
    <w:rsid w:val="004F7473"/>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6E9"/>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385"/>
    <w:rsid w:val="00526475"/>
    <w:rsid w:val="00526F19"/>
    <w:rsid w:val="005271FA"/>
    <w:rsid w:val="00527712"/>
    <w:rsid w:val="00530379"/>
    <w:rsid w:val="0053041A"/>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357"/>
    <w:rsid w:val="005375C7"/>
    <w:rsid w:val="00537783"/>
    <w:rsid w:val="005378C1"/>
    <w:rsid w:val="00537D16"/>
    <w:rsid w:val="00537E49"/>
    <w:rsid w:val="00540197"/>
    <w:rsid w:val="00540981"/>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33D"/>
    <w:rsid w:val="00547700"/>
    <w:rsid w:val="00547779"/>
    <w:rsid w:val="005500AB"/>
    <w:rsid w:val="00550161"/>
    <w:rsid w:val="005501AF"/>
    <w:rsid w:val="00550DAC"/>
    <w:rsid w:val="005523D0"/>
    <w:rsid w:val="0055273B"/>
    <w:rsid w:val="00552E19"/>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7CF"/>
    <w:rsid w:val="00565B84"/>
    <w:rsid w:val="00565B8F"/>
    <w:rsid w:val="00566EE5"/>
    <w:rsid w:val="005673A0"/>
    <w:rsid w:val="00567781"/>
    <w:rsid w:val="00570B50"/>
    <w:rsid w:val="00570DA9"/>
    <w:rsid w:val="00571ED1"/>
    <w:rsid w:val="00572271"/>
    <w:rsid w:val="00572696"/>
    <w:rsid w:val="00573197"/>
    <w:rsid w:val="00573F95"/>
    <w:rsid w:val="005744A1"/>
    <w:rsid w:val="0057530C"/>
    <w:rsid w:val="0057557A"/>
    <w:rsid w:val="005759B9"/>
    <w:rsid w:val="005762FE"/>
    <w:rsid w:val="00576704"/>
    <w:rsid w:val="0057684C"/>
    <w:rsid w:val="00576974"/>
    <w:rsid w:val="005770F0"/>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B46"/>
    <w:rsid w:val="00583EA9"/>
    <w:rsid w:val="005849EB"/>
    <w:rsid w:val="00584AEA"/>
    <w:rsid w:val="00584C98"/>
    <w:rsid w:val="00584CE6"/>
    <w:rsid w:val="005857ED"/>
    <w:rsid w:val="00586942"/>
    <w:rsid w:val="00587387"/>
    <w:rsid w:val="00587A2B"/>
    <w:rsid w:val="00587D9B"/>
    <w:rsid w:val="00587F91"/>
    <w:rsid w:val="0059036E"/>
    <w:rsid w:val="00590857"/>
    <w:rsid w:val="0059094C"/>
    <w:rsid w:val="00591728"/>
    <w:rsid w:val="00592A66"/>
    <w:rsid w:val="0059354A"/>
    <w:rsid w:val="005938A0"/>
    <w:rsid w:val="005939F4"/>
    <w:rsid w:val="00593C8B"/>
    <w:rsid w:val="00593DCC"/>
    <w:rsid w:val="0059407E"/>
    <w:rsid w:val="005941EF"/>
    <w:rsid w:val="005947A9"/>
    <w:rsid w:val="00594D8D"/>
    <w:rsid w:val="00594F1D"/>
    <w:rsid w:val="00594FB9"/>
    <w:rsid w:val="00595CB9"/>
    <w:rsid w:val="00595EA4"/>
    <w:rsid w:val="00596C03"/>
    <w:rsid w:val="00597332"/>
    <w:rsid w:val="00597810"/>
    <w:rsid w:val="005979AD"/>
    <w:rsid w:val="00597B18"/>
    <w:rsid w:val="00597EA7"/>
    <w:rsid w:val="005A0348"/>
    <w:rsid w:val="005A04E9"/>
    <w:rsid w:val="005A050B"/>
    <w:rsid w:val="005A05F1"/>
    <w:rsid w:val="005A1948"/>
    <w:rsid w:val="005A19A6"/>
    <w:rsid w:val="005A2763"/>
    <w:rsid w:val="005A2B4E"/>
    <w:rsid w:val="005A377F"/>
    <w:rsid w:val="005A3ACE"/>
    <w:rsid w:val="005A44EF"/>
    <w:rsid w:val="005A470C"/>
    <w:rsid w:val="005A5C60"/>
    <w:rsid w:val="005A5D80"/>
    <w:rsid w:val="005A5DEC"/>
    <w:rsid w:val="005A6AA1"/>
    <w:rsid w:val="005A6BE8"/>
    <w:rsid w:val="005A716B"/>
    <w:rsid w:val="005B04D8"/>
    <w:rsid w:val="005B0A0B"/>
    <w:rsid w:val="005B112E"/>
    <w:rsid w:val="005B1979"/>
    <w:rsid w:val="005B1B0C"/>
    <w:rsid w:val="005B1D90"/>
    <w:rsid w:val="005B1EF2"/>
    <w:rsid w:val="005B2021"/>
    <w:rsid w:val="005B3BEE"/>
    <w:rsid w:val="005B41CC"/>
    <w:rsid w:val="005B510B"/>
    <w:rsid w:val="005B6280"/>
    <w:rsid w:val="005B64AD"/>
    <w:rsid w:val="005B7101"/>
    <w:rsid w:val="005B7637"/>
    <w:rsid w:val="005C0458"/>
    <w:rsid w:val="005C04DD"/>
    <w:rsid w:val="005C0712"/>
    <w:rsid w:val="005C07C0"/>
    <w:rsid w:val="005C0C0D"/>
    <w:rsid w:val="005C19BD"/>
    <w:rsid w:val="005C1A1B"/>
    <w:rsid w:val="005C2135"/>
    <w:rsid w:val="005C275B"/>
    <w:rsid w:val="005C2BCE"/>
    <w:rsid w:val="005C30BA"/>
    <w:rsid w:val="005C3647"/>
    <w:rsid w:val="005C3684"/>
    <w:rsid w:val="005C393A"/>
    <w:rsid w:val="005C39AB"/>
    <w:rsid w:val="005C3B6C"/>
    <w:rsid w:val="005C3DA2"/>
    <w:rsid w:val="005C432F"/>
    <w:rsid w:val="005C45D3"/>
    <w:rsid w:val="005C47C1"/>
    <w:rsid w:val="005C644F"/>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5EE4"/>
    <w:rsid w:val="005D642E"/>
    <w:rsid w:val="005D7184"/>
    <w:rsid w:val="005D72FA"/>
    <w:rsid w:val="005E00E6"/>
    <w:rsid w:val="005E019C"/>
    <w:rsid w:val="005E0514"/>
    <w:rsid w:val="005E0684"/>
    <w:rsid w:val="005E0854"/>
    <w:rsid w:val="005E1D0E"/>
    <w:rsid w:val="005E1D41"/>
    <w:rsid w:val="005E1E50"/>
    <w:rsid w:val="005E2773"/>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68D"/>
    <w:rsid w:val="00600BAE"/>
    <w:rsid w:val="00601558"/>
    <w:rsid w:val="00601E21"/>
    <w:rsid w:val="00602487"/>
    <w:rsid w:val="00603117"/>
    <w:rsid w:val="00604B46"/>
    <w:rsid w:val="00604C0A"/>
    <w:rsid w:val="00604DC9"/>
    <w:rsid w:val="00605173"/>
    <w:rsid w:val="006055C8"/>
    <w:rsid w:val="00605A21"/>
    <w:rsid w:val="00606FEF"/>
    <w:rsid w:val="00607379"/>
    <w:rsid w:val="006103C1"/>
    <w:rsid w:val="0061069B"/>
    <w:rsid w:val="00610D50"/>
    <w:rsid w:val="006110AB"/>
    <w:rsid w:val="00611429"/>
    <w:rsid w:val="00611491"/>
    <w:rsid w:val="006115A1"/>
    <w:rsid w:val="006116EE"/>
    <w:rsid w:val="00611BB0"/>
    <w:rsid w:val="00611F2C"/>
    <w:rsid w:val="0061210E"/>
    <w:rsid w:val="00612135"/>
    <w:rsid w:val="00612227"/>
    <w:rsid w:val="00612C18"/>
    <w:rsid w:val="0061483D"/>
    <w:rsid w:val="00614A6A"/>
    <w:rsid w:val="00614ED7"/>
    <w:rsid w:val="00615132"/>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243"/>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3C53"/>
    <w:rsid w:val="00634237"/>
    <w:rsid w:val="0063433B"/>
    <w:rsid w:val="006348E8"/>
    <w:rsid w:val="006348F4"/>
    <w:rsid w:val="00635047"/>
    <w:rsid w:val="00635302"/>
    <w:rsid w:val="00635910"/>
    <w:rsid w:val="00635B92"/>
    <w:rsid w:val="0063603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19B"/>
    <w:rsid w:val="006646F4"/>
    <w:rsid w:val="00664C81"/>
    <w:rsid w:val="006655F9"/>
    <w:rsid w:val="006656D9"/>
    <w:rsid w:val="00665762"/>
    <w:rsid w:val="006664AE"/>
    <w:rsid w:val="00666E12"/>
    <w:rsid w:val="00667A2A"/>
    <w:rsid w:val="006712DD"/>
    <w:rsid w:val="00671929"/>
    <w:rsid w:val="00671B36"/>
    <w:rsid w:val="006720D9"/>
    <w:rsid w:val="00672D93"/>
    <w:rsid w:val="006735A4"/>
    <w:rsid w:val="0067380B"/>
    <w:rsid w:val="00675A2A"/>
    <w:rsid w:val="00675C98"/>
    <w:rsid w:val="006761FD"/>
    <w:rsid w:val="006770CF"/>
    <w:rsid w:val="00677143"/>
    <w:rsid w:val="006806DE"/>
    <w:rsid w:val="00680F50"/>
    <w:rsid w:val="00681013"/>
    <w:rsid w:val="00681368"/>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1A4"/>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5EA"/>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128"/>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6AF9"/>
    <w:rsid w:val="006D764C"/>
    <w:rsid w:val="006E019A"/>
    <w:rsid w:val="006E09F3"/>
    <w:rsid w:val="006E0B25"/>
    <w:rsid w:val="006E0D86"/>
    <w:rsid w:val="006E2112"/>
    <w:rsid w:val="006E27D7"/>
    <w:rsid w:val="006E2FE3"/>
    <w:rsid w:val="006E3092"/>
    <w:rsid w:val="006E36B1"/>
    <w:rsid w:val="006E5A6F"/>
    <w:rsid w:val="006E6168"/>
    <w:rsid w:val="006E68BC"/>
    <w:rsid w:val="006E70D4"/>
    <w:rsid w:val="006E7279"/>
    <w:rsid w:val="006E7E29"/>
    <w:rsid w:val="006F05E2"/>
    <w:rsid w:val="006F0851"/>
    <w:rsid w:val="006F1887"/>
    <w:rsid w:val="006F1AA2"/>
    <w:rsid w:val="006F1CAE"/>
    <w:rsid w:val="006F2C2D"/>
    <w:rsid w:val="006F2E37"/>
    <w:rsid w:val="006F2F0B"/>
    <w:rsid w:val="006F3132"/>
    <w:rsid w:val="006F34B8"/>
    <w:rsid w:val="006F37B7"/>
    <w:rsid w:val="006F3AF3"/>
    <w:rsid w:val="006F3D6F"/>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4DFE"/>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341"/>
    <w:rsid w:val="00721530"/>
    <w:rsid w:val="00721549"/>
    <w:rsid w:val="007219AF"/>
    <w:rsid w:val="007219E1"/>
    <w:rsid w:val="00722400"/>
    <w:rsid w:val="00722696"/>
    <w:rsid w:val="007229AB"/>
    <w:rsid w:val="007232A2"/>
    <w:rsid w:val="00723AE6"/>
    <w:rsid w:val="00724391"/>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AD2"/>
    <w:rsid w:val="00740F24"/>
    <w:rsid w:val="007411EB"/>
    <w:rsid w:val="0074197F"/>
    <w:rsid w:val="00741BA9"/>
    <w:rsid w:val="00741E3A"/>
    <w:rsid w:val="00744C4E"/>
    <w:rsid w:val="00744D1F"/>
    <w:rsid w:val="00744EC5"/>
    <w:rsid w:val="00745546"/>
    <w:rsid w:val="0074588C"/>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4AAF"/>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26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DCA"/>
    <w:rsid w:val="007A4F9E"/>
    <w:rsid w:val="007A4FB7"/>
    <w:rsid w:val="007A5359"/>
    <w:rsid w:val="007A5CC6"/>
    <w:rsid w:val="007A5D48"/>
    <w:rsid w:val="007A60DB"/>
    <w:rsid w:val="007A7A6B"/>
    <w:rsid w:val="007B012A"/>
    <w:rsid w:val="007B1A60"/>
    <w:rsid w:val="007B1D30"/>
    <w:rsid w:val="007B2B87"/>
    <w:rsid w:val="007B2E98"/>
    <w:rsid w:val="007B33DD"/>
    <w:rsid w:val="007B36CF"/>
    <w:rsid w:val="007B3BCA"/>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728"/>
    <w:rsid w:val="007F29BF"/>
    <w:rsid w:val="007F2FF7"/>
    <w:rsid w:val="007F3704"/>
    <w:rsid w:val="007F4047"/>
    <w:rsid w:val="007F404E"/>
    <w:rsid w:val="007F42EC"/>
    <w:rsid w:val="007F4F86"/>
    <w:rsid w:val="007F5726"/>
    <w:rsid w:val="007F6A86"/>
    <w:rsid w:val="007F74F6"/>
    <w:rsid w:val="00800184"/>
    <w:rsid w:val="008003F9"/>
    <w:rsid w:val="008007AF"/>
    <w:rsid w:val="00800D03"/>
    <w:rsid w:val="00801783"/>
    <w:rsid w:val="00801C7C"/>
    <w:rsid w:val="00802D3A"/>
    <w:rsid w:val="00803593"/>
    <w:rsid w:val="00803855"/>
    <w:rsid w:val="00803C37"/>
    <w:rsid w:val="00803DDA"/>
    <w:rsid w:val="0080418B"/>
    <w:rsid w:val="008041A2"/>
    <w:rsid w:val="008055E1"/>
    <w:rsid w:val="00806B89"/>
    <w:rsid w:val="00806F3B"/>
    <w:rsid w:val="008075D1"/>
    <w:rsid w:val="00807916"/>
    <w:rsid w:val="00807B3B"/>
    <w:rsid w:val="00807FC1"/>
    <w:rsid w:val="008114BF"/>
    <w:rsid w:val="00811AE8"/>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578"/>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75F"/>
    <w:rsid w:val="0083189E"/>
    <w:rsid w:val="00831C5E"/>
    <w:rsid w:val="00831F77"/>
    <w:rsid w:val="0083251B"/>
    <w:rsid w:val="00832BF4"/>
    <w:rsid w:val="0083343C"/>
    <w:rsid w:val="008337F3"/>
    <w:rsid w:val="008339C3"/>
    <w:rsid w:val="00833B55"/>
    <w:rsid w:val="00834E61"/>
    <w:rsid w:val="00834EDB"/>
    <w:rsid w:val="00835444"/>
    <w:rsid w:val="00836728"/>
    <w:rsid w:val="0083693F"/>
    <w:rsid w:val="00836C76"/>
    <w:rsid w:val="00837347"/>
    <w:rsid w:val="008379EC"/>
    <w:rsid w:val="00837A8C"/>
    <w:rsid w:val="00837B0C"/>
    <w:rsid w:val="00840A12"/>
    <w:rsid w:val="0084148B"/>
    <w:rsid w:val="008417E8"/>
    <w:rsid w:val="00841B8C"/>
    <w:rsid w:val="00841BD0"/>
    <w:rsid w:val="00841ED2"/>
    <w:rsid w:val="00842246"/>
    <w:rsid w:val="00842344"/>
    <w:rsid w:val="00842378"/>
    <w:rsid w:val="00842CC9"/>
    <w:rsid w:val="00842FB6"/>
    <w:rsid w:val="00843030"/>
    <w:rsid w:val="00843761"/>
    <w:rsid w:val="00843BB5"/>
    <w:rsid w:val="00844284"/>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759"/>
    <w:rsid w:val="00852B16"/>
    <w:rsid w:val="00852BB0"/>
    <w:rsid w:val="008535DA"/>
    <w:rsid w:val="0085362D"/>
    <w:rsid w:val="008536DE"/>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2323"/>
    <w:rsid w:val="0086304D"/>
    <w:rsid w:val="00863D38"/>
    <w:rsid w:val="008643C5"/>
    <w:rsid w:val="008646E1"/>
    <w:rsid w:val="00864700"/>
    <w:rsid w:val="0086481F"/>
    <w:rsid w:val="00864DD4"/>
    <w:rsid w:val="008654BD"/>
    <w:rsid w:val="00865CDF"/>
    <w:rsid w:val="00866386"/>
    <w:rsid w:val="00867B71"/>
    <w:rsid w:val="00867CF8"/>
    <w:rsid w:val="008702D8"/>
    <w:rsid w:val="00870837"/>
    <w:rsid w:val="00871EEA"/>
    <w:rsid w:val="00872241"/>
    <w:rsid w:val="0087293B"/>
    <w:rsid w:val="00872A4E"/>
    <w:rsid w:val="00872DCC"/>
    <w:rsid w:val="008733F4"/>
    <w:rsid w:val="00874CBF"/>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4E7A"/>
    <w:rsid w:val="00895696"/>
    <w:rsid w:val="0089583C"/>
    <w:rsid w:val="008962A9"/>
    <w:rsid w:val="008963CC"/>
    <w:rsid w:val="0089690A"/>
    <w:rsid w:val="00896B6F"/>
    <w:rsid w:val="00896E38"/>
    <w:rsid w:val="008A05B8"/>
    <w:rsid w:val="008A0724"/>
    <w:rsid w:val="008A08C0"/>
    <w:rsid w:val="008A13BF"/>
    <w:rsid w:val="008A15BA"/>
    <w:rsid w:val="008A1F2D"/>
    <w:rsid w:val="008A20F2"/>
    <w:rsid w:val="008A2DAE"/>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29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02F"/>
    <w:rsid w:val="008D211F"/>
    <w:rsid w:val="008D2CF9"/>
    <w:rsid w:val="008D3201"/>
    <w:rsid w:val="008D3E7E"/>
    <w:rsid w:val="008D48DC"/>
    <w:rsid w:val="008D4A9A"/>
    <w:rsid w:val="008D4E15"/>
    <w:rsid w:val="008D5A5F"/>
    <w:rsid w:val="008D628C"/>
    <w:rsid w:val="008D7054"/>
    <w:rsid w:val="008D72EB"/>
    <w:rsid w:val="008D7685"/>
    <w:rsid w:val="008D7B33"/>
    <w:rsid w:val="008D7BCC"/>
    <w:rsid w:val="008E03C0"/>
    <w:rsid w:val="008E049A"/>
    <w:rsid w:val="008E0506"/>
    <w:rsid w:val="008E0A33"/>
    <w:rsid w:val="008E0BAD"/>
    <w:rsid w:val="008E0E22"/>
    <w:rsid w:val="008E117C"/>
    <w:rsid w:val="008E1856"/>
    <w:rsid w:val="008E1908"/>
    <w:rsid w:val="008E19FF"/>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0B64"/>
    <w:rsid w:val="008F17D8"/>
    <w:rsid w:val="008F182D"/>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8F7192"/>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CC8"/>
    <w:rsid w:val="00910FDC"/>
    <w:rsid w:val="009113E4"/>
    <w:rsid w:val="009129EF"/>
    <w:rsid w:val="00912AC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437"/>
    <w:rsid w:val="00923520"/>
    <w:rsid w:val="00923ADC"/>
    <w:rsid w:val="00923ED4"/>
    <w:rsid w:val="009245C6"/>
    <w:rsid w:val="0092470B"/>
    <w:rsid w:val="00924D9A"/>
    <w:rsid w:val="009253D7"/>
    <w:rsid w:val="00926076"/>
    <w:rsid w:val="00926381"/>
    <w:rsid w:val="009267C1"/>
    <w:rsid w:val="00927644"/>
    <w:rsid w:val="009277C8"/>
    <w:rsid w:val="00927AEA"/>
    <w:rsid w:val="0093060A"/>
    <w:rsid w:val="009308F4"/>
    <w:rsid w:val="009308F6"/>
    <w:rsid w:val="00930D22"/>
    <w:rsid w:val="00931268"/>
    <w:rsid w:val="00931F2A"/>
    <w:rsid w:val="00932065"/>
    <w:rsid w:val="00932E1B"/>
    <w:rsid w:val="00932EBD"/>
    <w:rsid w:val="00932FD4"/>
    <w:rsid w:val="00933031"/>
    <w:rsid w:val="00933B7A"/>
    <w:rsid w:val="00933CD8"/>
    <w:rsid w:val="00934A59"/>
    <w:rsid w:val="00934D9F"/>
    <w:rsid w:val="009365B6"/>
    <w:rsid w:val="00937926"/>
    <w:rsid w:val="00940024"/>
    <w:rsid w:val="00940518"/>
    <w:rsid w:val="00940681"/>
    <w:rsid w:val="00940CB0"/>
    <w:rsid w:val="00941D70"/>
    <w:rsid w:val="00941DC8"/>
    <w:rsid w:val="00942157"/>
    <w:rsid w:val="0094273A"/>
    <w:rsid w:val="009427ED"/>
    <w:rsid w:val="0094403C"/>
    <w:rsid w:val="00944C84"/>
    <w:rsid w:val="00944D69"/>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422"/>
    <w:rsid w:val="00964790"/>
    <w:rsid w:val="009651CB"/>
    <w:rsid w:val="0096558C"/>
    <w:rsid w:val="00965867"/>
    <w:rsid w:val="00965FE1"/>
    <w:rsid w:val="00966096"/>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5EB"/>
    <w:rsid w:val="009731A1"/>
    <w:rsid w:val="00973DFB"/>
    <w:rsid w:val="00973FE5"/>
    <w:rsid w:val="0097450D"/>
    <w:rsid w:val="00975376"/>
    <w:rsid w:val="00975452"/>
    <w:rsid w:val="0097569D"/>
    <w:rsid w:val="00976AD9"/>
    <w:rsid w:val="00980A5A"/>
    <w:rsid w:val="00980D66"/>
    <w:rsid w:val="0098123E"/>
    <w:rsid w:val="0098154E"/>
    <w:rsid w:val="00981B16"/>
    <w:rsid w:val="00981BC2"/>
    <w:rsid w:val="009837D3"/>
    <w:rsid w:val="00983CDE"/>
    <w:rsid w:val="009845BD"/>
    <w:rsid w:val="009849B5"/>
    <w:rsid w:val="00985096"/>
    <w:rsid w:val="009859C9"/>
    <w:rsid w:val="009862EC"/>
    <w:rsid w:val="0098677F"/>
    <w:rsid w:val="00986B13"/>
    <w:rsid w:val="00986BAA"/>
    <w:rsid w:val="0098769C"/>
    <w:rsid w:val="009876E9"/>
    <w:rsid w:val="009878A8"/>
    <w:rsid w:val="00987CD8"/>
    <w:rsid w:val="0099002E"/>
    <w:rsid w:val="0099038F"/>
    <w:rsid w:val="0099090F"/>
    <w:rsid w:val="0099115B"/>
    <w:rsid w:val="00991992"/>
    <w:rsid w:val="00992858"/>
    <w:rsid w:val="00992869"/>
    <w:rsid w:val="00992E3E"/>
    <w:rsid w:val="009941EB"/>
    <w:rsid w:val="009957C2"/>
    <w:rsid w:val="00995DF4"/>
    <w:rsid w:val="0099603F"/>
    <w:rsid w:val="0099662C"/>
    <w:rsid w:val="00996CD7"/>
    <w:rsid w:val="00997CB8"/>
    <w:rsid w:val="009A082C"/>
    <w:rsid w:val="009A0D00"/>
    <w:rsid w:val="009A1361"/>
    <w:rsid w:val="009A1394"/>
    <w:rsid w:val="009A1647"/>
    <w:rsid w:val="009A1B5E"/>
    <w:rsid w:val="009A2072"/>
    <w:rsid w:val="009A2590"/>
    <w:rsid w:val="009A2AC6"/>
    <w:rsid w:val="009A2AF7"/>
    <w:rsid w:val="009A2E51"/>
    <w:rsid w:val="009A3387"/>
    <w:rsid w:val="009A3431"/>
    <w:rsid w:val="009A4079"/>
    <w:rsid w:val="009A479D"/>
    <w:rsid w:val="009A55CC"/>
    <w:rsid w:val="009A6136"/>
    <w:rsid w:val="009A634E"/>
    <w:rsid w:val="009A6603"/>
    <w:rsid w:val="009A6A75"/>
    <w:rsid w:val="009A7530"/>
    <w:rsid w:val="009B01B6"/>
    <w:rsid w:val="009B060B"/>
    <w:rsid w:val="009B084F"/>
    <w:rsid w:val="009B0F58"/>
    <w:rsid w:val="009B1960"/>
    <w:rsid w:val="009B1989"/>
    <w:rsid w:val="009B274F"/>
    <w:rsid w:val="009B35F3"/>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4ED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1DF0"/>
    <w:rsid w:val="009F2C42"/>
    <w:rsid w:val="009F3602"/>
    <w:rsid w:val="009F3AA0"/>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4B3"/>
    <w:rsid w:val="00A026EE"/>
    <w:rsid w:val="00A02758"/>
    <w:rsid w:val="00A04FE1"/>
    <w:rsid w:val="00A053CD"/>
    <w:rsid w:val="00A0569C"/>
    <w:rsid w:val="00A060F9"/>
    <w:rsid w:val="00A07675"/>
    <w:rsid w:val="00A079FF"/>
    <w:rsid w:val="00A07C42"/>
    <w:rsid w:val="00A07D28"/>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007"/>
    <w:rsid w:val="00A25778"/>
    <w:rsid w:val="00A25C96"/>
    <w:rsid w:val="00A25E84"/>
    <w:rsid w:val="00A26643"/>
    <w:rsid w:val="00A2675B"/>
    <w:rsid w:val="00A26D1D"/>
    <w:rsid w:val="00A2712C"/>
    <w:rsid w:val="00A2780A"/>
    <w:rsid w:val="00A27D98"/>
    <w:rsid w:val="00A30E4B"/>
    <w:rsid w:val="00A313B6"/>
    <w:rsid w:val="00A3209C"/>
    <w:rsid w:val="00A32566"/>
    <w:rsid w:val="00A3294B"/>
    <w:rsid w:val="00A33782"/>
    <w:rsid w:val="00A33AFB"/>
    <w:rsid w:val="00A34067"/>
    <w:rsid w:val="00A34717"/>
    <w:rsid w:val="00A35549"/>
    <w:rsid w:val="00A35A07"/>
    <w:rsid w:val="00A36CFE"/>
    <w:rsid w:val="00A371DD"/>
    <w:rsid w:val="00A37469"/>
    <w:rsid w:val="00A378E3"/>
    <w:rsid w:val="00A37D91"/>
    <w:rsid w:val="00A37F05"/>
    <w:rsid w:val="00A4054C"/>
    <w:rsid w:val="00A40841"/>
    <w:rsid w:val="00A41438"/>
    <w:rsid w:val="00A42FA2"/>
    <w:rsid w:val="00A43BE4"/>
    <w:rsid w:val="00A44EAE"/>
    <w:rsid w:val="00A4519A"/>
    <w:rsid w:val="00A455C1"/>
    <w:rsid w:val="00A45CD3"/>
    <w:rsid w:val="00A45F82"/>
    <w:rsid w:val="00A46D1C"/>
    <w:rsid w:val="00A479A5"/>
    <w:rsid w:val="00A47B03"/>
    <w:rsid w:val="00A50EDB"/>
    <w:rsid w:val="00A50F15"/>
    <w:rsid w:val="00A50F64"/>
    <w:rsid w:val="00A51347"/>
    <w:rsid w:val="00A5138F"/>
    <w:rsid w:val="00A518D1"/>
    <w:rsid w:val="00A5198C"/>
    <w:rsid w:val="00A542EF"/>
    <w:rsid w:val="00A55012"/>
    <w:rsid w:val="00A55BDF"/>
    <w:rsid w:val="00A569B4"/>
    <w:rsid w:val="00A56C30"/>
    <w:rsid w:val="00A56E16"/>
    <w:rsid w:val="00A570BE"/>
    <w:rsid w:val="00A5720C"/>
    <w:rsid w:val="00A577C0"/>
    <w:rsid w:val="00A57872"/>
    <w:rsid w:val="00A60A10"/>
    <w:rsid w:val="00A61930"/>
    <w:rsid w:val="00A621CB"/>
    <w:rsid w:val="00A62237"/>
    <w:rsid w:val="00A62658"/>
    <w:rsid w:val="00A6282C"/>
    <w:rsid w:val="00A62BAC"/>
    <w:rsid w:val="00A62C93"/>
    <w:rsid w:val="00A62D42"/>
    <w:rsid w:val="00A644F8"/>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75D20"/>
    <w:rsid w:val="00A81222"/>
    <w:rsid w:val="00A81531"/>
    <w:rsid w:val="00A81622"/>
    <w:rsid w:val="00A81763"/>
    <w:rsid w:val="00A817C9"/>
    <w:rsid w:val="00A81B63"/>
    <w:rsid w:val="00A82366"/>
    <w:rsid w:val="00A82829"/>
    <w:rsid w:val="00A834A2"/>
    <w:rsid w:val="00A837E0"/>
    <w:rsid w:val="00A83877"/>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6D9A"/>
    <w:rsid w:val="00AA7CDA"/>
    <w:rsid w:val="00AA7F81"/>
    <w:rsid w:val="00AB08B3"/>
    <w:rsid w:val="00AB1B61"/>
    <w:rsid w:val="00AB1D52"/>
    <w:rsid w:val="00AB2074"/>
    <w:rsid w:val="00AB2210"/>
    <w:rsid w:val="00AB26C5"/>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9B3"/>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831"/>
    <w:rsid w:val="00AE3B21"/>
    <w:rsid w:val="00AE4A55"/>
    <w:rsid w:val="00AE5216"/>
    <w:rsid w:val="00AE56F9"/>
    <w:rsid w:val="00AE6009"/>
    <w:rsid w:val="00AE6A76"/>
    <w:rsid w:val="00AE6BC3"/>
    <w:rsid w:val="00AF0018"/>
    <w:rsid w:val="00AF119A"/>
    <w:rsid w:val="00AF152A"/>
    <w:rsid w:val="00AF18C7"/>
    <w:rsid w:val="00AF19C3"/>
    <w:rsid w:val="00AF2D09"/>
    <w:rsid w:val="00AF3637"/>
    <w:rsid w:val="00AF365A"/>
    <w:rsid w:val="00AF3CAD"/>
    <w:rsid w:val="00AF4B55"/>
    <w:rsid w:val="00AF5087"/>
    <w:rsid w:val="00AF674F"/>
    <w:rsid w:val="00AF7CB9"/>
    <w:rsid w:val="00AF7EBC"/>
    <w:rsid w:val="00B001B9"/>
    <w:rsid w:val="00B0048F"/>
    <w:rsid w:val="00B005F2"/>
    <w:rsid w:val="00B02AC1"/>
    <w:rsid w:val="00B03334"/>
    <w:rsid w:val="00B033F7"/>
    <w:rsid w:val="00B050BF"/>
    <w:rsid w:val="00B052EA"/>
    <w:rsid w:val="00B0616E"/>
    <w:rsid w:val="00B06EC3"/>
    <w:rsid w:val="00B07339"/>
    <w:rsid w:val="00B0743B"/>
    <w:rsid w:val="00B07CCF"/>
    <w:rsid w:val="00B1072C"/>
    <w:rsid w:val="00B1108C"/>
    <w:rsid w:val="00B112AA"/>
    <w:rsid w:val="00B1174B"/>
    <w:rsid w:val="00B11881"/>
    <w:rsid w:val="00B11ADD"/>
    <w:rsid w:val="00B11EB0"/>
    <w:rsid w:val="00B12278"/>
    <w:rsid w:val="00B129A8"/>
    <w:rsid w:val="00B130FA"/>
    <w:rsid w:val="00B13CF9"/>
    <w:rsid w:val="00B13DD2"/>
    <w:rsid w:val="00B14A8C"/>
    <w:rsid w:val="00B16FF6"/>
    <w:rsid w:val="00B171C1"/>
    <w:rsid w:val="00B1736B"/>
    <w:rsid w:val="00B17DD0"/>
    <w:rsid w:val="00B2017F"/>
    <w:rsid w:val="00B203AB"/>
    <w:rsid w:val="00B20903"/>
    <w:rsid w:val="00B20A08"/>
    <w:rsid w:val="00B20CE7"/>
    <w:rsid w:val="00B21231"/>
    <w:rsid w:val="00B213B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0E02"/>
    <w:rsid w:val="00B314A4"/>
    <w:rsid w:val="00B32DC2"/>
    <w:rsid w:val="00B33208"/>
    <w:rsid w:val="00B33A8B"/>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B1E"/>
    <w:rsid w:val="00B51CD3"/>
    <w:rsid w:val="00B52A33"/>
    <w:rsid w:val="00B53960"/>
    <w:rsid w:val="00B542E8"/>
    <w:rsid w:val="00B544BE"/>
    <w:rsid w:val="00B54625"/>
    <w:rsid w:val="00B55DA8"/>
    <w:rsid w:val="00B55E0F"/>
    <w:rsid w:val="00B560C6"/>
    <w:rsid w:val="00B564FA"/>
    <w:rsid w:val="00B56EA9"/>
    <w:rsid w:val="00B57788"/>
    <w:rsid w:val="00B60279"/>
    <w:rsid w:val="00B6079A"/>
    <w:rsid w:val="00B60B7C"/>
    <w:rsid w:val="00B60F78"/>
    <w:rsid w:val="00B6181B"/>
    <w:rsid w:val="00B620EE"/>
    <w:rsid w:val="00B621E8"/>
    <w:rsid w:val="00B6358C"/>
    <w:rsid w:val="00B63E66"/>
    <w:rsid w:val="00B645D1"/>
    <w:rsid w:val="00B650AA"/>
    <w:rsid w:val="00B65203"/>
    <w:rsid w:val="00B6571B"/>
    <w:rsid w:val="00B65D17"/>
    <w:rsid w:val="00B65EAE"/>
    <w:rsid w:val="00B70A84"/>
    <w:rsid w:val="00B711A3"/>
    <w:rsid w:val="00B7148C"/>
    <w:rsid w:val="00B71D66"/>
    <w:rsid w:val="00B7262F"/>
    <w:rsid w:val="00B7264A"/>
    <w:rsid w:val="00B7335B"/>
    <w:rsid w:val="00B73415"/>
    <w:rsid w:val="00B73BF6"/>
    <w:rsid w:val="00B744AC"/>
    <w:rsid w:val="00B7527A"/>
    <w:rsid w:val="00B75315"/>
    <w:rsid w:val="00B75786"/>
    <w:rsid w:val="00B75BD3"/>
    <w:rsid w:val="00B7639A"/>
    <w:rsid w:val="00B76636"/>
    <w:rsid w:val="00B76FC2"/>
    <w:rsid w:val="00B77302"/>
    <w:rsid w:val="00B80828"/>
    <w:rsid w:val="00B813A3"/>
    <w:rsid w:val="00B81C1A"/>
    <w:rsid w:val="00B81F16"/>
    <w:rsid w:val="00B82598"/>
    <w:rsid w:val="00B8357C"/>
    <w:rsid w:val="00B848A3"/>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0FFC"/>
    <w:rsid w:val="00BA2353"/>
    <w:rsid w:val="00BA2E12"/>
    <w:rsid w:val="00BA2FD6"/>
    <w:rsid w:val="00BA31E1"/>
    <w:rsid w:val="00BA36FE"/>
    <w:rsid w:val="00BA37DC"/>
    <w:rsid w:val="00BA4671"/>
    <w:rsid w:val="00BA4AED"/>
    <w:rsid w:val="00BA4D4D"/>
    <w:rsid w:val="00BA4E5A"/>
    <w:rsid w:val="00BA5116"/>
    <w:rsid w:val="00BA5118"/>
    <w:rsid w:val="00BA5548"/>
    <w:rsid w:val="00BA6051"/>
    <w:rsid w:val="00BA632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B7C87"/>
    <w:rsid w:val="00BC038B"/>
    <w:rsid w:val="00BC040F"/>
    <w:rsid w:val="00BC0CCC"/>
    <w:rsid w:val="00BC162D"/>
    <w:rsid w:val="00BC1BFD"/>
    <w:rsid w:val="00BC238C"/>
    <w:rsid w:val="00BC24ED"/>
    <w:rsid w:val="00BC428E"/>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17E"/>
    <w:rsid w:val="00BD54D2"/>
    <w:rsid w:val="00BD6B4D"/>
    <w:rsid w:val="00BD750E"/>
    <w:rsid w:val="00BE023E"/>
    <w:rsid w:val="00BE0B66"/>
    <w:rsid w:val="00BE1C44"/>
    <w:rsid w:val="00BE20D4"/>
    <w:rsid w:val="00BE2578"/>
    <w:rsid w:val="00BE2C93"/>
    <w:rsid w:val="00BE32AB"/>
    <w:rsid w:val="00BE39F6"/>
    <w:rsid w:val="00BE4409"/>
    <w:rsid w:val="00BE4849"/>
    <w:rsid w:val="00BE4CDE"/>
    <w:rsid w:val="00BE585F"/>
    <w:rsid w:val="00BF017B"/>
    <w:rsid w:val="00BF04C8"/>
    <w:rsid w:val="00BF0EDC"/>
    <w:rsid w:val="00BF13BB"/>
    <w:rsid w:val="00BF1EB9"/>
    <w:rsid w:val="00BF292C"/>
    <w:rsid w:val="00BF2EB4"/>
    <w:rsid w:val="00BF3162"/>
    <w:rsid w:val="00BF3314"/>
    <w:rsid w:val="00BF366B"/>
    <w:rsid w:val="00BF38B0"/>
    <w:rsid w:val="00BF3F11"/>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6F28"/>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149"/>
    <w:rsid w:val="00C31E51"/>
    <w:rsid w:val="00C31F3E"/>
    <w:rsid w:val="00C33264"/>
    <w:rsid w:val="00C33B36"/>
    <w:rsid w:val="00C34AEB"/>
    <w:rsid w:val="00C354E5"/>
    <w:rsid w:val="00C35653"/>
    <w:rsid w:val="00C35FF4"/>
    <w:rsid w:val="00C3656E"/>
    <w:rsid w:val="00C369B9"/>
    <w:rsid w:val="00C37AF1"/>
    <w:rsid w:val="00C403C3"/>
    <w:rsid w:val="00C406EF"/>
    <w:rsid w:val="00C416E2"/>
    <w:rsid w:val="00C41ABF"/>
    <w:rsid w:val="00C42054"/>
    <w:rsid w:val="00C4206F"/>
    <w:rsid w:val="00C425B2"/>
    <w:rsid w:val="00C42741"/>
    <w:rsid w:val="00C427F6"/>
    <w:rsid w:val="00C42BCB"/>
    <w:rsid w:val="00C43560"/>
    <w:rsid w:val="00C457FE"/>
    <w:rsid w:val="00C45E58"/>
    <w:rsid w:val="00C46CD0"/>
    <w:rsid w:val="00C477FA"/>
    <w:rsid w:val="00C47D00"/>
    <w:rsid w:val="00C513C0"/>
    <w:rsid w:val="00C515C6"/>
    <w:rsid w:val="00C52524"/>
    <w:rsid w:val="00C53030"/>
    <w:rsid w:val="00C536F3"/>
    <w:rsid w:val="00C53DF0"/>
    <w:rsid w:val="00C5432B"/>
    <w:rsid w:val="00C54342"/>
    <w:rsid w:val="00C54618"/>
    <w:rsid w:val="00C54D2A"/>
    <w:rsid w:val="00C55B31"/>
    <w:rsid w:val="00C55DB0"/>
    <w:rsid w:val="00C55FD4"/>
    <w:rsid w:val="00C560CE"/>
    <w:rsid w:val="00C56594"/>
    <w:rsid w:val="00C577FF"/>
    <w:rsid w:val="00C57B81"/>
    <w:rsid w:val="00C60AFB"/>
    <w:rsid w:val="00C61283"/>
    <w:rsid w:val="00C61F20"/>
    <w:rsid w:val="00C6277B"/>
    <w:rsid w:val="00C63C6D"/>
    <w:rsid w:val="00C64271"/>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6A8F"/>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2C89"/>
    <w:rsid w:val="00C93096"/>
    <w:rsid w:val="00C93174"/>
    <w:rsid w:val="00C93509"/>
    <w:rsid w:val="00C936F2"/>
    <w:rsid w:val="00C938C1"/>
    <w:rsid w:val="00C940A6"/>
    <w:rsid w:val="00C94F1E"/>
    <w:rsid w:val="00C95D35"/>
    <w:rsid w:val="00C95EF2"/>
    <w:rsid w:val="00C96904"/>
    <w:rsid w:val="00C96EB2"/>
    <w:rsid w:val="00C97648"/>
    <w:rsid w:val="00C97DDB"/>
    <w:rsid w:val="00CA0F99"/>
    <w:rsid w:val="00CA0FCA"/>
    <w:rsid w:val="00CA159C"/>
    <w:rsid w:val="00CA249B"/>
    <w:rsid w:val="00CA2554"/>
    <w:rsid w:val="00CA4043"/>
    <w:rsid w:val="00CA40B5"/>
    <w:rsid w:val="00CA4FC1"/>
    <w:rsid w:val="00CA4FEE"/>
    <w:rsid w:val="00CA563C"/>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17A"/>
    <w:rsid w:val="00CB428E"/>
    <w:rsid w:val="00CB5227"/>
    <w:rsid w:val="00CB6417"/>
    <w:rsid w:val="00CB658D"/>
    <w:rsid w:val="00CC1E84"/>
    <w:rsid w:val="00CC2D38"/>
    <w:rsid w:val="00CC2E9A"/>
    <w:rsid w:val="00CC2F7B"/>
    <w:rsid w:val="00CC32B3"/>
    <w:rsid w:val="00CC3D05"/>
    <w:rsid w:val="00CC5CFD"/>
    <w:rsid w:val="00CC6852"/>
    <w:rsid w:val="00CC7EA7"/>
    <w:rsid w:val="00CD0039"/>
    <w:rsid w:val="00CD0245"/>
    <w:rsid w:val="00CD0711"/>
    <w:rsid w:val="00CD07A8"/>
    <w:rsid w:val="00CD092C"/>
    <w:rsid w:val="00CD11BB"/>
    <w:rsid w:val="00CD2786"/>
    <w:rsid w:val="00CD2B07"/>
    <w:rsid w:val="00CD2F84"/>
    <w:rsid w:val="00CD30EE"/>
    <w:rsid w:val="00CD313C"/>
    <w:rsid w:val="00CD36E5"/>
    <w:rsid w:val="00CD3A25"/>
    <w:rsid w:val="00CD3F85"/>
    <w:rsid w:val="00CD4955"/>
    <w:rsid w:val="00CD4986"/>
    <w:rsid w:val="00CD4EF2"/>
    <w:rsid w:val="00CD51A1"/>
    <w:rsid w:val="00CD56BE"/>
    <w:rsid w:val="00CD57F6"/>
    <w:rsid w:val="00CD76B4"/>
    <w:rsid w:val="00CD7ED2"/>
    <w:rsid w:val="00CE0943"/>
    <w:rsid w:val="00CE096B"/>
    <w:rsid w:val="00CE0D4B"/>
    <w:rsid w:val="00CE0FD6"/>
    <w:rsid w:val="00CE158E"/>
    <w:rsid w:val="00CE1858"/>
    <w:rsid w:val="00CE21BF"/>
    <w:rsid w:val="00CE2686"/>
    <w:rsid w:val="00CE2859"/>
    <w:rsid w:val="00CE28BE"/>
    <w:rsid w:val="00CE29E4"/>
    <w:rsid w:val="00CE2E22"/>
    <w:rsid w:val="00CE394D"/>
    <w:rsid w:val="00CE4380"/>
    <w:rsid w:val="00CE476C"/>
    <w:rsid w:val="00CE48DB"/>
    <w:rsid w:val="00CE58F2"/>
    <w:rsid w:val="00CE62C7"/>
    <w:rsid w:val="00CE63C5"/>
    <w:rsid w:val="00CE66D3"/>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298"/>
    <w:rsid w:val="00D11BEF"/>
    <w:rsid w:val="00D12F93"/>
    <w:rsid w:val="00D1353E"/>
    <w:rsid w:val="00D13791"/>
    <w:rsid w:val="00D1399F"/>
    <w:rsid w:val="00D13D59"/>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1A25"/>
    <w:rsid w:val="00D322B9"/>
    <w:rsid w:val="00D32345"/>
    <w:rsid w:val="00D326D6"/>
    <w:rsid w:val="00D32D9C"/>
    <w:rsid w:val="00D333AD"/>
    <w:rsid w:val="00D33784"/>
    <w:rsid w:val="00D33AD6"/>
    <w:rsid w:val="00D3486A"/>
    <w:rsid w:val="00D357C1"/>
    <w:rsid w:val="00D3585B"/>
    <w:rsid w:val="00D35D18"/>
    <w:rsid w:val="00D36765"/>
    <w:rsid w:val="00D3730D"/>
    <w:rsid w:val="00D3754F"/>
    <w:rsid w:val="00D37675"/>
    <w:rsid w:val="00D37720"/>
    <w:rsid w:val="00D377C9"/>
    <w:rsid w:val="00D378DB"/>
    <w:rsid w:val="00D37FB1"/>
    <w:rsid w:val="00D40702"/>
    <w:rsid w:val="00D408A5"/>
    <w:rsid w:val="00D40BBC"/>
    <w:rsid w:val="00D40F4B"/>
    <w:rsid w:val="00D40FB9"/>
    <w:rsid w:val="00D4187F"/>
    <w:rsid w:val="00D424EC"/>
    <w:rsid w:val="00D42739"/>
    <w:rsid w:val="00D42C23"/>
    <w:rsid w:val="00D4319D"/>
    <w:rsid w:val="00D43803"/>
    <w:rsid w:val="00D44B91"/>
    <w:rsid w:val="00D44DF2"/>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5F1B"/>
    <w:rsid w:val="00D563A0"/>
    <w:rsid w:val="00D60026"/>
    <w:rsid w:val="00D60035"/>
    <w:rsid w:val="00D601EB"/>
    <w:rsid w:val="00D6047F"/>
    <w:rsid w:val="00D60564"/>
    <w:rsid w:val="00D610AE"/>
    <w:rsid w:val="00D617EB"/>
    <w:rsid w:val="00D61FEA"/>
    <w:rsid w:val="00D6254C"/>
    <w:rsid w:val="00D634DF"/>
    <w:rsid w:val="00D63760"/>
    <w:rsid w:val="00D63997"/>
    <w:rsid w:val="00D64025"/>
    <w:rsid w:val="00D64B74"/>
    <w:rsid w:val="00D652E3"/>
    <w:rsid w:val="00D659A7"/>
    <w:rsid w:val="00D661FC"/>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19C"/>
    <w:rsid w:val="00D86E1B"/>
    <w:rsid w:val="00D86E6D"/>
    <w:rsid w:val="00D86E83"/>
    <w:rsid w:val="00D86FE6"/>
    <w:rsid w:val="00D877AB"/>
    <w:rsid w:val="00D90526"/>
    <w:rsid w:val="00D90662"/>
    <w:rsid w:val="00D90A19"/>
    <w:rsid w:val="00D90B59"/>
    <w:rsid w:val="00D90CA8"/>
    <w:rsid w:val="00D91667"/>
    <w:rsid w:val="00D91B20"/>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68D0"/>
    <w:rsid w:val="00DA77B5"/>
    <w:rsid w:val="00DA7C21"/>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C6528"/>
    <w:rsid w:val="00DD0E82"/>
    <w:rsid w:val="00DD15F4"/>
    <w:rsid w:val="00DD3409"/>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4FC"/>
    <w:rsid w:val="00DE3EE4"/>
    <w:rsid w:val="00DE404C"/>
    <w:rsid w:val="00DE4B26"/>
    <w:rsid w:val="00DE4DC2"/>
    <w:rsid w:val="00DE5374"/>
    <w:rsid w:val="00DE53A2"/>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588A"/>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5CE7"/>
    <w:rsid w:val="00E35D90"/>
    <w:rsid w:val="00E36109"/>
    <w:rsid w:val="00E365F7"/>
    <w:rsid w:val="00E36C79"/>
    <w:rsid w:val="00E37B26"/>
    <w:rsid w:val="00E37D5F"/>
    <w:rsid w:val="00E409BA"/>
    <w:rsid w:val="00E40A56"/>
    <w:rsid w:val="00E41D97"/>
    <w:rsid w:val="00E426BF"/>
    <w:rsid w:val="00E42974"/>
    <w:rsid w:val="00E42F78"/>
    <w:rsid w:val="00E432B2"/>
    <w:rsid w:val="00E44217"/>
    <w:rsid w:val="00E447A2"/>
    <w:rsid w:val="00E456D0"/>
    <w:rsid w:val="00E45C16"/>
    <w:rsid w:val="00E463B7"/>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BC8"/>
    <w:rsid w:val="00EA425F"/>
    <w:rsid w:val="00EA44A9"/>
    <w:rsid w:val="00EA45C4"/>
    <w:rsid w:val="00EA47BF"/>
    <w:rsid w:val="00EA4F2A"/>
    <w:rsid w:val="00EA54C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3506"/>
    <w:rsid w:val="00EC448C"/>
    <w:rsid w:val="00EC5323"/>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5DDE"/>
    <w:rsid w:val="00ED61AE"/>
    <w:rsid w:val="00ED79E3"/>
    <w:rsid w:val="00EE0604"/>
    <w:rsid w:val="00EE07BF"/>
    <w:rsid w:val="00EE07C4"/>
    <w:rsid w:val="00EE1797"/>
    <w:rsid w:val="00EE308F"/>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4F6"/>
    <w:rsid w:val="00EF19D8"/>
    <w:rsid w:val="00EF2E98"/>
    <w:rsid w:val="00EF3864"/>
    <w:rsid w:val="00EF3EAD"/>
    <w:rsid w:val="00EF40D0"/>
    <w:rsid w:val="00EF4232"/>
    <w:rsid w:val="00EF48C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88B"/>
    <w:rsid w:val="00F15B8D"/>
    <w:rsid w:val="00F161A7"/>
    <w:rsid w:val="00F16DF2"/>
    <w:rsid w:val="00F16F3E"/>
    <w:rsid w:val="00F20443"/>
    <w:rsid w:val="00F20934"/>
    <w:rsid w:val="00F215D6"/>
    <w:rsid w:val="00F21906"/>
    <w:rsid w:val="00F21F55"/>
    <w:rsid w:val="00F22CBB"/>
    <w:rsid w:val="00F24559"/>
    <w:rsid w:val="00F24800"/>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4FA"/>
    <w:rsid w:val="00F32A64"/>
    <w:rsid w:val="00F32A98"/>
    <w:rsid w:val="00F32DCE"/>
    <w:rsid w:val="00F33A94"/>
    <w:rsid w:val="00F33F83"/>
    <w:rsid w:val="00F34CD1"/>
    <w:rsid w:val="00F34D62"/>
    <w:rsid w:val="00F35CB2"/>
    <w:rsid w:val="00F3696A"/>
    <w:rsid w:val="00F36A8F"/>
    <w:rsid w:val="00F3704B"/>
    <w:rsid w:val="00F3711D"/>
    <w:rsid w:val="00F37430"/>
    <w:rsid w:val="00F379D1"/>
    <w:rsid w:val="00F4043D"/>
    <w:rsid w:val="00F409D9"/>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BEF"/>
    <w:rsid w:val="00F60C91"/>
    <w:rsid w:val="00F60FB8"/>
    <w:rsid w:val="00F613EF"/>
    <w:rsid w:val="00F627D3"/>
    <w:rsid w:val="00F6390E"/>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8E5"/>
    <w:rsid w:val="00F70A02"/>
    <w:rsid w:val="00F70C63"/>
    <w:rsid w:val="00F70D47"/>
    <w:rsid w:val="00F71299"/>
    <w:rsid w:val="00F71818"/>
    <w:rsid w:val="00F71DE0"/>
    <w:rsid w:val="00F72CA6"/>
    <w:rsid w:val="00F72DE0"/>
    <w:rsid w:val="00F73224"/>
    <w:rsid w:val="00F734AA"/>
    <w:rsid w:val="00F73513"/>
    <w:rsid w:val="00F73672"/>
    <w:rsid w:val="00F742F1"/>
    <w:rsid w:val="00F74A63"/>
    <w:rsid w:val="00F74C5E"/>
    <w:rsid w:val="00F75257"/>
    <w:rsid w:val="00F775C7"/>
    <w:rsid w:val="00F7768E"/>
    <w:rsid w:val="00F77830"/>
    <w:rsid w:val="00F77C42"/>
    <w:rsid w:val="00F77E06"/>
    <w:rsid w:val="00F77E6C"/>
    <w:rsid w:val="00F77E92"/>
    <w:rsid w:val="00F8006C"/>
    <w:rsid w:val="00F809A5"/>
    <w:rsid w:val="00F811F9"/>
    <w:rsid w:val="00F81393"/>
    <w:rsid w:val="00F823CF"/>
    <w:rsid w:val="00F82A54"/>
    <w:rsid w:val="00F84141"/>
    <w:rsid w:val="00F849AE"/>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49E"/>
    <w:rsid w:val="00FA78E5"/>
    <w:rsid w:val="00FA7FA2"/>
    <w:rsid w:val="00FB11CB"/>
    <w:rsid w:val="00FB11E0"/>
    <w:rsid w:val="00FB1850"/>
    <w:rsid w:val="00FB1C33"/>
    <w:rsid w:val="00FB2245"/>
    <w:rsid w:val="00FB318A"/>
    <w:rsid w:val="00FB34E8"/>
    <w:rsid w:val="00FB3DB0"/>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641"/>
    <w:rsid w:val="00FC7A93"/>
    <w:rsid w:val="00FC7B53"/>
    <w:rsid w:val="00FC7CD1"/>
    <w:rsid w:val="00FD08CC"/>
    <w:rsid w:val="00FD0A0E"/>
    <w:rsid w:val="00FD1830"/>
    <w:rsid w:val="00FD26F2"/>
    <w:rsid w:val="00FD2ABF"/>
    <w:rsid w:val="00FD2AC7"/>
    <w:rsid w:val="00FD3319"/>
    <w:rsid w:val="00FD336C"/>
    <w:rsid w:val="00FD37BB"/>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6607"/>
    <w:rsid w:val="00FE6F7D"/>
    <w:rsid w:val="00FE7004"/>
    <w:rsid w:val="00FE7337"/>
    <w:rsid w:val="00FE774A"/>
    <w:rsid w:val="00FE7AEE"/>
    <w:rsid w:val="00FE7B6E"/>
    <w:rsid w:val="00FF026B"/>
    <w:rsid w:val="00FF0653"/>
    <w:rsid w:val="00FF06D7"/>
    <w:rsid w:val="00FF0B79"/>
    <w:rsid w:val="00FF1906"/>
    <w:rsid w:val="00FF19AC"/>
    <w:rsid w:val="00FF1D59"/>
    <w:rsid w:val="00FF2CCD"/>
    <w:rsid w:val="00FF3431"/>
    <w:rsid w:val="00FF4BE9"/>
    <w:rsid w:val="00FF50CF"/>
    <w:rsid w:val="00FF5473"/>
    <w:rsid w:val="00FF581A"/>
    <w:rsid w:val="00FF605A"/>
    <w:rsid w:val="00FF6520"/>
    <w:rsid w:val="00FF68B8"/>
    <w:rsid w:val="00FF695E"/>
    <w:rsid w:val="00FF69AE"/>
    <w:rsid w:val="00FF69DD"/>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ParagraphedelisteCar"/>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ì¬º¥¹¥È¶ÎÂä Car,ÁÐ³ö¶ÎÂä Car,列表段落1 Car,—ño’i—Ž Car,¥ê¥¹¥È¶ÎÂä Car,1st level - Bullet List Paragraph Car,목록단락 Car,列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auNormal"/>
    <w:next w:val="Grilledutableau"/>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5D5EE4"/>
    <w:rPr>
      <w:i/>
      <w:iCs/>
    </w:rPr>
  </w:style>
  <w:style w:type="character" w:customStyle="1" w:styleId="B1Zchn">
    <w:name w:val="B1 Zchn"/>
    <w:rsid w:val="00FA749E"/>
    <w:rPr>
      <w:lang w:eastAsia="en-US"/>
    </w:rPr>
  </w:style>
  <w:style w:type="paragraph" w:customStyle="1" w:styleId="3GPPNormalText">
    <w:name w:val="3GPP Normal Text"/>
    <w:basedOn w:val="Corpsdetexte"/>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9</Pages>
  <Words>3051</Words>
  <Characters>16782</Characters>
  <Application>Microsoft Office Word</Application>
  <DocSecurity>0</DocSecurity>
  <Lines>139</Lines>
  <Paragraphs>39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23</cp:revision>
  <cp:lastPrinted>2016-08-10T06:06:00Z</cp:lastPrinted>
  <dcterms:created xsi:type="dcterms:W3CDTF">2022-09-30T13:16:00Z</dcterms:created>
  <dcterms:modified xsi:type="dcterms:W3CDTF">2022-09-30T22:44:00Z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ies>
</file>